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900" w14:textId="77777777" w:rsidR="00434E36" w:rsidRPr="00D30734" w:rsidRDefault="00434E36" w:rsidP="001939EC">
      <w:pPr>
        <w:widowControl w:val="0"/>
        <w:tabs>
          <w:tab w:val="left" w:pos="5711"/>
        </w:tabs>
        <w:spacing w:line="360" w:lineRule="auto"/>
        <w:ind w:right="763"/>
        <w:rPr>
          <w:rFonts w:asciiTheme="minorHAnsi" w:hAnsiTheme="minorHAnsi" w:cstheme="minorHAnsi"/>
          <w:snapToGrid/>
          <w:szCs w:val="24"/>
          <w:lang w:eastAsia="fr-BE"/>
        </w:rPr>
      </w:pPr>
      <w:r w:rsidRPr="00D30734">
        <w:rPr>
          <w:rFonts w:asciiTheme="minorHAnsi" w:hAnsiTheme="minorHAnsi" w:cstheme="minorHAnsi"/>
          <w:noProof/>
          <w:snapToGrid/>
          <w:szCs w:val="24"/>
          <w:lang w:val="en-US"/>
        </w:rPr>
        <w:drawing>
          <wp:inline distT="0" distB="0" distL="0" distR="0" wp14:anchorId="31A7AFC8" wp14:editId="090F53BE">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7BECFA1F" w14:textId="77777777" w:rsidR="007A2E1F" w:rsidRPr="00D30734" w:rsidRDefault="007A2E1F" w:rsidP="001939EC">
      <w:pPr>
        <w:pStyle w:val="AddressTR"/>
        <w:tabs>
          <w:tab w:val="left" w:pos="5711"/>
        </w:tabs>
        <w:rPr>
          <w:rFonts w:asciiTheme="minorHAnsi" w:hAnsiTheme="minorHAnsi" w:cstheme="minorHAnsi"/>
          <w:szCs w:val="24"/>
          <w:lang w:eastAsia="zh-CN"/>
        </w:rPr>
      </w:pPr>
    </w:p>
    <w:p w14:paraId="4D44676E" w14:textId="5B97667D" w:rsidR="009E1F39" w:rsidRPr="00D30734" w:rsidRDefault="005240CF" w:rsidP="009E1F39">
      <w:pPr>
        <w:pStyle w:val="Date"/>
        <w:tabs>
          <w:tab w:val="left" w:pos="5711"/>
        </w:tabs>
        <w:spacing w:line="360" w:lineRule="auto"/>
        <w:ind w:left="0"/>
        <w:rPr>
          <w:rFonts w:asciiTheme="minorHAnsi" w:eastAsia="SimSun" w:hAnsiTheme="minorHAnsi" w:cstheme="minorHAnsi"/>
          <w:snapToGrid/>
          <w:szCs w:val="24"/>
          <w:lang w:eastAsia="zh-CN"/>
        </w:rPr>
      </w:pPr>
      <w:r w:rsidRPr="00D30734">
        <w:rPr>
          <w:rFonts w:asciiTheme="minorHAnsi" w:hAnsiTheme="minorHAnsi" w:cstheme="minorHAnsi"/>
          <w:snapToGrid/>
          <w:szCs w:val="24"/>
          <w:lang w:eastAsia="zh-CN"/>
        </w:rPr>
        <w:t xml:space="preserve">Ref.: </w:t>
      </w:r>
      <w:r w:rsidR="002906F9" w:rsidRPr="002906F9">
        <w:rPr>
          <w:rFonts w:asciiTheme="minorHAnsi" w:hAnsiTheme="minorHAnsi" w:cstheme="minorHAnsi"/>
          <w:snapToGrid/>
          <w:szCs w:val="24"/>
          <w:lang w:eastAsia="zh-CN"/>
        </w:rPr>
        <w:t>EDAC201912008</w:t>
      </w:r>
      <w:r w:rsidR="001E5C01" w:rsidRPr="00D30734">
        <w:rPr>
          <w:rFonts w:asciiTheme="minorHAnsi" w:hAnsiTheme="minorHAnsi" w:cstheme="minorHAnsi"/>
          <w:i/>
          <w:snapToGrid/>
          <w:color w:val="FF0000"/>
          <w:szCs w:val="24"/>
          <w:lang w:eastAsia="zh-CN"/>
        </w:rPr>
        <w:tab/>
      </w:r>
      <w:r w:rsidR="001E5C01" w:rsidRPr="00D30734">
        <w:rPr>
          <w:rFonts w:asciiTheme="minorHAnsi" w:hAnsiTheme="minorHAnsi" w:cstheme="minorHAnsi"/>
          <w:i/>
          <w:snapToGrid/>
          <w:color w:val="FF0000"/>
          <w:szCs w:val="24"/>
          <w:lang w:eastAsia="zh-CN"/>
        </w:rPr>
        <w:tab/>
      </w:r>
      <w:r w:rsidR="009E1F39" w:rsidRPr="00D30734">
        <w:rPr>
          <w:rFonts w:asciiTheme="minorHAnsi" w:eastAsia="SimSun" w:hAnsiTheme="minorHAnsi" w:cstheme="minorHAnsi"/>
          <w:snapToGrid/>
          <w:szCs w:val="24"/>
          <w:lang w:eastAsia="zh-CN"/>
        </w:rPr>
        <w:t>Brussels</w:t>
      </w:r>
      <w:bookmarkStart w:id="0" w:name="_GoBack"/>
      <w:r w:rsidR="009E1F39" w:rsidRPr="00D30734">
        <w:rPr>
          <w:rFonts w:asciiTheme="minorHAnsi" w:eastAsia="SimSun" w:hAnsiTheme="minorHAnsi" w:cstheme="minorHAnsi"/>
          <w:snapToGrid/>
          <w:szCs w:val="24"/>
          <w:lang w:eastAsia="zh-CN"/>
        </w:rPr>
        <w:t>,</w:t>
      </w:r>
      <w:r w:rsidR="005F11D9">
        <w:rPr>
          <w:rFonts w:asciiTheme="minorHAnsi" w:eastAsia="SimSun" w:hAnsiTheme="minorHAnsi" w:cstheme="minorHAnsi"/>
          <w:snapToGrid/>
          <w:szCs w:val="24"/>
          <w:lang w:eastAsia="zh-CN"/>
        </w:rPr>
        <w:t xml:space="preserve"> </w:t>
      </w:r>
      <w:r w:rsidR="00DE326B">
        <w:rPr>
          <w:rFonts w:asciiTheme="minorHAnsi" w:eastAsia="SimSun" w:hAnsiTheme="minorHAnsi" w:cstheme="minorHAnsi"/>
          <w:snapToGrid/>
          <w:szCs w:val="24"/>
          <w:lang w:eastAsia="zh-CN"/>
        </w:rPr>
        <w:t>09/12/2019</w:t>
      </w:r>
    </w:p>
    <w:bookmarkEnd w:id="0"/>
    <w:p w14:paraId="5440BDA7" w14:textId="15347851" w:rsidR="005240CF" w:rsidRDefault="005240CF" w:rsidP="00E4766B">
      <w:pPr>
        <w:pStyle w:val="Date"/>
        <w:tabs>
          <w:tab w:val="left" w:pos="5711"/>
        </w:tabs>
        <w:spacing w:line="360" w:lineRule="auto"/>
        <w:ind w:left="0"/>
        <w:rPr>
          <w:rFonts w:asciiTheme="minorHAnsi" w:hAnsiTheme="minorHAnsi" w:cstheme="minorHAnsi"/>
          <w:snapToGrid/>
          <w:szCs w:val="24"/>
          <w:lang w:eastAsia="zh-CN"/>
        </w:rPr>
      </w:pPr>
    </w:p>
    <w:p w14:paraId="18F87C51" w14:textId="77777777" w:rsidR="00A15DDD" w:rsidRPr="00A15DDD" w:rsidRDefault="00A15DDD" w:rsidP="00A15DDD">
      <w:pPr>
        <w:pStyle w:val="References"/>
        <w:rPr>
          <w:lang w:eastAsia="zh-CN"/>
        </w:rPr>
      </w:pPr>
    </w:p>
    <w:p w14:paraId="0D68E76D" w14:textId="3B34F0EE" w:rsidR="00771230" w:rsidRPr="00D30734" w:rsidRDefault="005240CF" w:rsidP="00F80FD6">
      <w:pPr>
        <w:widowControl w:val="0"/>
        <w:tabs>
          <w:tab w:val="left" w:pos="5711"/>
        </w:tabs>
        <w:spacing w:line="360" w:lineRule="auto"/>
        <w:jc w:val="center"/>
        <w:rPr>
          <w:rFonts w:asciiTheme="minorHAnsi" w:hAnsiTheme="minorHAnsi" w:cstheme="minorHAnsi"/>
          <w:b/>
          <w:snapToGrid/>
          <w:szCs w:val="24"/>
          <w:lang w:eastAsia="zh-CN"/>
        </w:rPr>
      </w:pPr>
      <w:r w:rsidRPr="00D30734">
        <w:rPr>
          <w:rFonts w:asciiTheme="minorHAnsi" w:hAnsiTheme="minorHAnsi" w:cstheme="minorHAnsi"/>
          <w:b/>
          <w:bCs/>
          <w:snapToGrid/>
          <w:szCs w:val="24"/>
          <w:lang w:eastAsia="zh-CN"/>
        </w:rPr>
        <w:t xml:space="preserve">Subject: </w:t>
      </w:r>
      <w:r w:rsidR="006E6C87" w:rsidRPr="00D30734">
        <w:rPr>
          <w:rFonts w:asciiTheme="minorHAnsi" w:hAnsiTheme="minorHAnsi" w:cstheme="minorHAnsi"/>
          <w:b/>
          <w:bCs/>
          <w:snapToGrid/>
          <w:szCs w:val="24"/>
          <w:lang w:eastAsia="zh-CN"/>
        </w:rPr>
        <w:t>Ex-</w:t>
      </w:r>
      <w:r w:rsidR="00771230" w:rsidRPr="00D30734">
        <w:rPr>
          <w:rFonts w:asciiTheme="minorHAnsi" w:hAnsiTheme="minorHAnsi" w:cstheme="minorHAnsi"/>
          <w:b/>
          <w:bCs/>
          <w:snapToGrid/>
          <w:szCs w:val="24"/>
          <w:lang w:eastAsia="zh-CN"/>
        </w:rPr>
        <w:t xml:space="preserve">ante publicity notice for the negotiated procedure </w:t>
      </w:r>
      <w:r w:rsidR="00F80FD6">
        <w:rPr>
          <w:rFonts w:asciiTheme="minorHAnsi" w:hAnsiTheme="minorHAnsi" w:cstheme="minorHAnsi"/>
          <w:b/>
          <w:bCs/>
          <w:snapToGrid/>
          <w:color w:val="000000" w:themeColor="text1"/>
          <w:szCs w:val="24"/>
          <w:lang w:eastAsia="zh-CN"/>
        </w:rPr>
        <w:t xml:space="preserve">19.CSD.NP3.443 </w:t>
      </w:r>
      <w:r w:rsidR="0053303A">
        <w:rPr>
          <w:rFonts w:asciiTheme="minorHAnsi" w:hAnsiTheme="minorHAnsi" w:cstheme="minorHAnsi"/>
          <w:b/>
          <w:bCs/>
          <w:snapToGrid/>
          <w:color w:val="000000" w:themeColor="text1"/>
          <w:szCs w:val="24"/>
          <w:lang w:eastAsia="zh-CN"/>
        </w:rPr>
        <w:t>–</w:t>
      </w:r>
      <w:r w:rsidR="00F80FD6">
        <w:rPr>
          <w:rFonts w:asciiTheme="minorHAnsi" w:hAnsiTheme="minorHAnsi" w:cstheme="minorHAnsi"/>
          <w:b/>
          <w:bCs/>
          <w:snapToGrid/>
          <w:color w:val="000000" w:themeColor="text1"/>
          <w:szCs w:val="24"/>
          <w:lang w:eastAsia="zh-CN"/>
        </w:rPr>
        <w:t xml:space="preserve"> </w:t>
      </w:r>
      <w:r w:rsidR="0053303A">
        <w:rPr>
          <w:rFonts w:asciiTheme="minorHAnsi" w:hAnsiTheme="minorHAnsi" w:cstheme="minorHAnsi"/>
          <w:b/>
          <w:bCs/>
          <w:snapToGrid/>
          <w:color w:val="000000" w:themeColor="text1"/>
          <w:szCs w:val="24"/>
          <w:lang w:eastAsia="zh-CN"/>
        </w:rPr>
        <w:t xml:space="preserve">Legal Support and </w:t>
      </w:r>
      <w:r w:rsidR="00F80FD6">
        <w:rPr>
          <w:rFonts w:asciiTheme="minorHAnsi" w:hAnsiTheme="minorHAnsi" w:cstheme="minorHAnsi"/>
          <w:b/>
          <w:snapToGrid/>
          <w:szCs w:val="24"/>
          <w:lang w:eastAsia="zh-CN"/>
        </w:rPr>
        <w:t>Provision of specialised advice on matters concerning VAT exemption</w:t>
      </w:r>
    </w:p>
    <w:p w14:paraId="0C82FF17" w14:textId="0FC5EE72" w:rsidR="00A0010A" w:rsidRDefault="00A0010A" w:rsidP="001939EC">
      <w:pPr>
        <w:tabs>
          <w:tab w:val="left" w:pos="5711"/>
        </w:tabs>
        <w:rPr>
          <w:rFonts w:asciiTheme="minorHAnsi" w:hAnsiTheme="minorHAnsi" w:cstheme="minorHAnsi"/>
          <w:szCs w:val="24"/>
          <w:lang w:eastAsia="zh-CN"/>
        </w:rPr>
      </w:pPr>
    </w:p>
    <w:p w14:paraId="375935AD" w14:textId="77777777" w:rsidR="00A15DDD" w:rsidRPr="00D30734" w:rsidRDefault="00A15DDD" w:rsidP="001939EC">
      <w:pPr>
        <w:tabs>
          <w:tab w:val="left" w:pos="5711"/>
        </w:tabs>
        <w:rPr>
          <w:rFonts w:asciiTheme="minorHAnsi" w:hAnsiTheme="minorHAnsi" w:cstheme="minorHAnsi"/>
          <w:szCs w:val="24"/>
          <w:lang w:eastAsia="zh-CN"/>
        </w:rPr>
      </w:pPr>
    </w:p>
    <w:p w14:paraId="1880DB91" w14:textId="77777777" w:rsidR="00771230" w:rsidRPr="00D30734" w:rsidRDefault="00771230" w:rsidP="00771230">
      <w:pPr>
        <w:tabs>
          <w:tab w:val="left" w:pos="5711"/>
        </w:tabs>
        <w:spacing w:line="360" w:lineRule="auto"/>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To whom it may concern</w:t>
      </w:r>
    </w:p>
    <w:p w14:paraId="227404B9" w14:textId="746CF267" w:rsidR="00771230" w:rsidRDefault="00771230" w:rsidP="00771230">
      <w:pPr>
        <w:tabs>
          <w:tab w:val="left" w:pos="5711"/>
        </w:tabs>
        <w:spacing w:line="360" w:lineRule="auto"/>
        <w:jc w:val="both"/>
        <w:rPr>
          <w:rFonts w:asciiTheme="minorHAnsi" w:hAnsiTheme="minorHAnsi" w:cstheme="minorHAnsi"/>
          <w:snapToGrid/>
          <w:szCs w:val="24"/>
          <w:lang w:eastAsia="zh-CN"/>
        </w:rPr>
      </w:pPr>
    </w:p>
    <w:p w14:paraId="129C6157" w14:textId="77777777" w:rsidR="00A15DDD" w:rsidRPr="00D30734" w:rsidRDefault="00A15DDD" w:rsidP="00771230">
      <w:pPr>
        <w:tabs>
          <w:tab w:val="left" w:pos="5711"/>
        </w:tabs>
        <w:spacing w:line="360" w:lineRule="auto"/>
        <w:jc w:val="both"/>
        <w:rPr>
          <w:rFonts w:asciiTheme="minorHAnsi" w:hAnsiTheme="minorHAnsi" w:cstheme="minorHAnsi"/>
          <w:snapToGrid/>
          <w:szCs w:val="24"/>
          <w:lang w:eastAsia="zh-CN"/>
        </w:rPr>
      </w:pPr>
    </w:p>
    <w:p w14:paraId="57E5E5C7" w14:textId="500EE44A" w:rsidR="00771230" w:rsidRPr="00D30734" w:rsidRDefault="00E900D7"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The European Defence Agency</w:t>
      </w:r>
      <w:r w:rsidR="00485FAF" w:rsidRPr="00D30734">
        <w:rPr>
          <w:rFonts w:asciiTheme="minorHAnsi" w:hAnsiTheme="minorHAnsi" w:cstheme="minorHAnsi"/>
          <w:snapToGrid/>
          <w:szCs w:val="24"/>
          <w:lang w:eastAsia="zh-CN"/>
        </w:rPr>
        <w:t xml:space="preserve"> (EDA)</w:t>
      </w:r>
      <w:r w:rsidRPr="00D30734">
        <w:rPr>
          <w:rFonts w:asciiTheme="minorHAnsi" w:hAnsiTheme="minorHAnsi" w:cstheme="minorHAnsi"/>
          <w:snapToGrid/>
          <w:szCs w:val="24"/>
          <w:lang w:eastAsia="zh-CN"/>
        </w:rPr>
        <w:t xml:space="preserve"> </w:t>
      </w:r>
      <w:r w:rsidR="00A317E5" w:rsidRPr="00D30734">
        <w:rPr>
          <w:rFonts w:asciiTheme="minorHAnsi" w:hAnsiTheme="minorHAnsi" w:cstheme="minorHAnsi"/>
          <w:snapToGrid/>
          <w:szCs w:val="24"/>
          <w:lang w:eastAsia="zh-CN"/>
        </w:rPr>
        <w:t>will shortly launch</w:t>
      </w:r>
      <w:r w:rsidR="0041662A" w:rsidRPr="00D30734">
        <w:rPr>
          <w:rFonts w:asciiTheme="minorHAnsi" w:hAnsiTheme="minorHAnsi" w:cstheme="minorHAnsi"/>
          <w:snapToGrid/>
          <w:szCs w:val="24"/>
          <w:lang w:eastAsia="zh-CN"/>
        </w:rPr>
        <w:t xml:space="preserve"> a call for tenders for the </w:t>
      </w:r>
      <w:r w:rsidR="00771230" w:rsidRPr="00D30734">
        <w:rPr>
          <w:rFonts w:asciiTheme="minorHAnsi" w:hAnsiTheme="minorHAnsi" w:cstheme="minorHAnsi"/>
          <w:snapToGrid/>
          <w:szCs w:val="24"/>
          <w:lang w:eastAsia="zh-CN"/>
        </w:rPr>
        <w:t xml:space="preserve">award </w:t>
      </w:r>
      <w:r w:rsidR="0041662A" w:rsidRPr="00D30734">
        <w:rPr>
          <w:rFonts w:asciiTheme="minorHAnsi" w:hAnsiTheme="minorHAnsi" w:cstheme="minorHAnsi"/>
          <w:snapToGrid/>
          <w:szCs w:val="24"/>
          <w:lang w:eastAsia="zh-CN"/>
        </w:rPr>
        <w:t xml:space="preserve">of the above </w:t>
      </w:r>
      <w:r w:rsidR="00135CED" w:rsidRPr="00F80FD6">
        <w:rPr>
          <w:rFonts w:asciiTheme="minorHAnsi" w:hAnsiTheme="minorHAnsi" w:cstheme="minorHAnsi"/>
          <w:snapToGrid/>
          <w:szCs w:val="24"/>
          <w:lang w:eastAsia="zh-CN"/>
        </w:rPr>
        <w:t>mentioned</w:t>
      </w:r>
      <w:r w:rsidR="00F80FD6" w:rsidRPr="00F80FD6">
        <w:rPr>
          <w:rFonts w:asciiTheme="minorHAnsi" w:hAnsiTheme="minorHAnsi" w:cstheme="minorHAnsi"/>
          <w:snapToGrid/>
          <w:szCs w:val="24"/>
          <w:lang w:eastAsia="zh-CN"/>
        </w:rPr>
        <w:t xml:space="preserve"> </w:t>
      </w:r>
      <w:r w:rsidR="00EC0EE6" w:rsidRPr="00F80FD6">
        <w:rPr>
          <w:rFonts w:asciiTheme="minorHAnsi" w:hAnsiTheme="minorHAnsi" w:cstheme="minorHAnsi"/>
          <w:snapToGrid/>
          <w:szCs w:val="24"/>
          <w:lang w:eastAsia="zh-CN"/>
        </w:rPr>
        <w:t>middle</w:t>
      </w:r>
      <w:r w:rsidR="00F80FD6">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value contract</w:t>
      </w:r>
      <w:r w:rsidR="00566ACF" w:rsidRPr="00D30734">
        <w:rPr>
          <w:rFonts w:asciiTheme="minorHAnsi" w:hAnsiTheme="minorHAnsi" w:cstheme="minorHAnsi"/>
          <w:snapToGrid/>
          <w:szCs w:val="24"/>
          <w:lang w:eastAsia="zh-CN"/>
        </w:rPr>
        <w:t>.</w:t>
      </w:r>
    </w:p>
    <w:p w14:paraId="29ACE274" w14:textId="77777777" w:rsidR="00771230" w:rsidRPr="00D30734" w:rsidRDefault="00771230" w:rsidP="002505B9">
      <w:pPr>
        <w:tabs>
          <w:tab w:val="left" w:pos="5711"/>
        </w:tabs>
        <w:spacing w:line="360" w:lineRule="auto"/>
        <w:jc w:val="both"/>
        <w:rPr>
          <w:rFonts w:asciiTheme="minorHAnsi" w:hAnsiTheme="minorHAnsi" w:cstheme="minorHAnsi"/>
          <w:snapToGrid/>
          <w:szCs w:val="24"/>
          <w:lang w:eastAsia="zh-CN"/>
        </w:rPr>
      </w:pPr>
    </w:p>
    <w:p w14:paraId="2AF46364" w14:textId="35FFC089" w:rsidR="007A1089"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Should you be interested in being invited in the above mentioned call for tenders, please follow the instructions below.</w:t>
      </w:r>
    </w:p>
    <w:p w14:paraId="687849D7" w14:textId="3888542A"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In order to </w:t>
      </w:r>
      <w:r w:rsidR="00771230" w:rsidRPr="00D30734">
        <w:rPr>
          <w:rFonts w:asciiTheme="minorHAnsi" w:hAnsiTheme="minorHAnsi" w:cstheme="minorHAnsi"/>
          <w:snapToGrid/>
          <w:szCs w:val="24"/>
          <w:lang w:eastAsia="zh-CN"/>
        </w:rPr>
        <w:t>help</w:t>
      </w:r>
      <w:r w:rsidRPr="00D30734">
        <w:rPr>
          <w:rFonts w:asciiTheme="minorHAnsi" w:hAnsiTheme="minorHAnsi" w:cstheme="minorHAnsi"/>
          <w:snapToGrid/>
          <w:szCs w:val="24"/>
          <w:lang w:eastAsia="zh-CN"/>
        </w:rPr>
        <w:t xml:space="preserve"> you </w:t>
      </w:r>
      <w:r w:rsidR="00E900D7" w:rsidRPr="00D30734">
        <w:rPr>
          <w:rFonts w:asciiTheme="minorHAnsi" w:hAnsiTheme="minorHAnsi" w:cstheme="minorHAnsi"/>
          <w:snapToGrid/>
          <w:szCs w:val="24"/>
          <w:lang w:eastAsia="zh-CN"/>
        </w:rPr>
        <w:t xml:space="preserve">assess </w:t>
      </w:r>
      <w:r w:rsidR="00771230" w:rsidRPr="00D30734">
        <w:rPr>
          <w:rFonts w:asciiTheme="minorHAnsi" w:hAnsiTheme="minorHAnsi" w:cstheme="minorHAnsi"/>
          <w:snapToGrid/>
          <w:szCs w:val="24"/>
          <w:lang w:eastAsia="zh-CN"/>
        </w:rPr>
        <w:t xml:space="preserve">whether the envisaged contract is of </w:t>
      </w:r>
      <w:r w:rsidRPr="00D30734">
        <w:rPr>
          <w:rFonts w:asciiTheme="minorHAnsi" w:hAnsiTheme="minorHAnsi" w:cstheme="minorHAnsi"/>
          <w:snapToGrid/>
          <w:szCs w:val="24"/>
          <w:lang w:eastAsia="zh-CN"/>
        </w:rPr>
        <w:t xml:space="preserve">your </w:t>
      </w:r>
      <w:r w:rsidR="00771230" w:rsidRPr="00D30734">
        <w:rPr>
          <w:rFonts w:asciiTheme="minorHAnsi" w:hAnsiTheme="minorHAnsi" w:cstheme="minorHAnsi"/>
          <w:snapToGrid/>
          <w:szCs w:val="24"/>
          <w:lang w:eastAsia="zh-CN"/>
        </w:rPr>
        <w:t>interest, the following</w:t>
      </w:r>
      <w:r w:rsidRPr="00D30734">
        <w:rPr>
          <w:rFonts w:asciiTheme="minorHAnsi" w:hAnsiTheme="minorHAnsi" w:cstheme="minorHAnsi"/>
          <w:snapToGrid/>
          <w:szCs w:val="24"/>
          <w:lang w:eastAsia="zh-CN"/>
        </w:rPr>
        <w:t xml:space="preserve"> information is hereby communicated</w:t>
      </w:r>
      <w:r w:rsidR="00771230" w:rsidRPr="00D30734">
        <w:rPr>
          <w:rFonts w:asciiTheme="minorHAnsi" w:hAnsiTheme="minorHAnsi" w:cstheme="minorHAnsi"/>
          <w:snapToGrid/>
          <w:szCs w:val="24"/>
          <w:lang w:eastAsia="zh-CN"/>
        </w:rPr>
        <w:t>.</w:t>
      </w:r>
    </w:p>
    <w:p w14:paraId="69B5A4CE" w14:textId="144F0D44" w:rsidR="00771230" w:rsidRDefault="00771230" w:rsidP="00771230">
      <w:pPr>
        <w:tabs>
          <w:tab w:val="left" w:pos="5711"/>
        </w:tabs>
        <w:spacing w:line="360" w:lineRule="auto"/>
        <w:jc w:val="both"/>
        <w:rPr>
          <w:rFonts w:asciiTheme="minorHAnsi" w:hAnsiTheme="minorHAnsi" w:cstheme="minorHAnsi"/>
          <w:snapToGrid/>
          <w:szCs w:val="24"/>
          <w:lang w:eastAsia="zh-CN"/>
        </w:rPr>
      </w:pPr>
    </w:p>
    <w:p w14:paraId="37BCA832" w14:textId="77777777" w:rsidR="00A15DDD" w:rsidRPr="00D30734" w:rsidRDefault="00A15DDD" w:rsidP="00771230">
      <w:pPr>
        <w:tabs>
          <w:tab w:val="left" w:pos="5711"/>
        </w:tabs>
        <w:spacing w:line="360" w:lineRule="auto"/>
        <w:jc w:val="both"/>
        <w:rPr>
          <w:rFonts w:asciiTheme="minorHAnsi" w:hAnsiTheme="minorHAnsi" w:cstheme="minorHAnsi"/>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D30734" w14:paraId="6F4940A7" w14:textId="77777777" w:rsidTr="005F51C4">
        <w:trPr>
          <w:trHeight w:val="385"/>
        </w:trPr>
        <w:tc>
          <w:tcPr>
            <w:tcW w:w="9634" w:type="dxa"/>
            <w:gridSpan w:val="2"/>
          </w:tcPr>
          <w:p w14:paraId="78805BA8" w14:textId="02884234" w:rsidR="00771230" w:rsidRPr="00D30734" w:rsidRDefault="00771230" w:rsidP="00771230">
            <w:pPr>
              <w:tabs>
                <w:tab w:val="left" w:pos="5711"/>
              </w:tabs>
              <w:spacing w:after="0"/>
              <w:jc w:val="center"/>
              <w:rPr>
                <w:rFonts w:asciiTheme="minorHAnsi" w:hAnsiTheme="minorHAnsi" w:cstheme="minorHAnsi"/>
                <w:b/>
                <w:snapToGrid/>
                <w:szCs w:val="24"/>
                <w:lang w:eastAsia="zh-CN"/>
              </w:rPr>
            </w:pPr>
            <w:r w:rsidRPr="00E4766B">
              <w:rPr>
                <w:rFonts w:asciiTheme="minorHAnsi" w:hAnsiTheme="minorHAnsi" w:cstheme="minorHAnsi"/>
                <w:b/>
                <w:snapToGrid/>
                <w:szCs w:val="24"/>
                <w:lang w:eastAsia="zh-CN"/>
              </w:rPr>
              <w:t>O</w:t>
            </w:r>
            <w:r w:rsidR="00686778" w:rsidRPr="00E4766B">
              <w:rPr>
                <w:rFonts w:asciiTheme="minorHAnsi" w:hAnsiTheme="minorHAnsi" w:cstheme="minorHAnsi"/>
                <w:b/>
                <w:snapToGrid/>
                <w:szCs w:val="24"/>
                <w:lang w:eastAsia="zh-CN"/>
              </w:rPr>
              <w:t>utline desc</w:t>
            </w:r>
            <w:r w:rsidRPr="00E4766B">
              <w:rPr>
                <w:rFonts w:asciiTheme="minorHAnsi" w:hAnsiTheme="minorHAnsi" w:cstheme="minorHAnsi"/>
                <w:b/>
                <w:snapToGrid/>
                <w:szCs w:val="24"/>
                <w:lang w:eastAsia="zh-CN"/>
              </w:rPr>
              <w:t>ription of the envisaged contract</w:t>
            </w:r>
          </w:p>
        </w:tc>
      </w:tr>
      <w:tr w:rsidR="00771230" w:rsidRPr="00D30734" w14:paraId="33CB4CC0" w14:textId="77777777" w:rsidTr="00F80FD6">
        <w:tc>
          <w:tcPr>
            <w:tcW w:w="2132" w:type="dxa"/>
          </w:tcPr>
          <w:p w14:paraId="684233FC" w14:textId="77777777" w:rsidR="00771230" w:rsidRPr="00C12328" w:rsidRDefault="00771230" w:rsidP="004C017B">
            <w:pPr>
              <w:tabs>
                <w:tab w:val="left" w:pos="5711"/>
              </w:tabs>
              <w:spacing w:after="0"/>
              <w:jc w:val="left"/>
              <w:rPr>
                <w:rFonts w:asciiTheme="minorHAnsi" w:hAnsiTheme="minorHAnsi" w:cstheme="minorHAnsi"/>
                <w:b/>
                <w:bCs/>
                <w:snapToGrid/>
                <w:szCs w:val="24"/>
                <w:lang w:eastAsia="zh-CN"/>
              </w:rPr>
            </w:pPr>
            <w:r w:rsidRPr="00C12328">
              <w:rPr>
                <w:rFonts w:asciiTheme="minorHAnsi" w:hAnsiTheme="minorHAnsi" w:cstheme="minorHAnsi"/>
                <w:b/>
                <w:bCs/>
                <w:snapToGrid/>
                <w:szCs w:val="24"/>
                <w:lang w:eastAsia="zh-CN"/>
              </w:rPr>
              <w:t>Type of contract</w:t>
            </w:r>
          </w:p>
        </w:tc>
        <w:tc>
          <w:tcPr>
            <w:tcW w:w="7502" w:type="dxa"/>
            <w:shd w:val="clear" w:color="auto" w:fill="auto"/>
          </w:tcPr>
          <w:p w14:paraId="3340DD97" w14:textId="77777777" w:rsidR="00771230" w:rsidRDefault="00C021E3" w:rsidP="00DB4753">
            <w:pPr>
              <w:pStyle w:val="ListParagraph"/>
              <w:numPr>
                <w:ilvl w:val="0"/>
                <w:numId w:val="3"/>
              </w:numPr>
              <w:tabs>
                <w:tab w:val="left" w:pos="5711"/>
              </w:tabs>
              <w:spacing w:after="0"/>
              <w:rPr>
                <w:rFonts w:asciiTheme="minorHAnsi" w:hAnsiTheme="minorHAnsi" w:cstheme="minorHAnsi"/>
                <w:snapToGrid/>
                <w:szCs w:val="24"/>
                <w:lang w:eastAsia="zh-CN"/>
              </w:rPr>
            </w:pPr>
            <w:r w:rsidRPr="00F80FD6">
              <w:rPr>
                <w:rFonts w:asciiTheme="minorHAnsi" w:hAnsiTheme="minorHAnsi" w:cstheme="minorHAnsi"/>
                <w:snapToGrid/>
                <w:szCs w:val="24"/>
                <w:lang w:eastAsia="zh-CN"/>
              </w:rPr>
              <w:t xml:space="preserve">Framework </w:t>
            </w:r>
            <w:r w:rsidR="0022359C">
              <w:rPr>
                <w:rFonts w:asciiTheme="minorHAnsi" w:hAnsiTheme="minorHAnsi" w:cstheme="minorHAnsi"/>
                <w:snapToGrid/>
                <w:szCs w:val="24"/>
                <w:lang w:eastAsia="zh-CN"/>
              </w:rPr>
              <w:t>Service C</w:t>
            </w:r>
            <w:r w:rsidRPr="00F80FD6">
              <w:rPr>
                <w:rFonts w:asciiTheme="minorHAnsi" w:hAnsiTheme="minorHAnsi" w:cstheme="minorHAnsi"/>
                <w:snapToGrid/>
                <w:szCs w:val="24"/>
                <w:lang w:eastAsia="zh-CN"/>
              </w:rPr>
              <w:t>ontract</w:t>
            </w:r>
          </w:p>
          <w:p w14:paraId="4E447863" w14:textId="2DC32A77" w:rsidR="00DE326B" w:rsidRPr="00D30734" w:rsidRDefault="00DE326B" w:rsidP="00DB4753">
            <w:pPr>
              <w:pStyle w:val="ListParagraph"/>
              <w:numPr>
                <w:ilvl w:val="0"/>
                <w:numId w:val="3"/>
              </w:numPr>
              <w:tabs>
                <w:tab w:val="left" w:pos="5711"/>
              </w:tabs>
              <w:spacing w:after="0"/>
              <w:rPr>
                <w:rFonts w:asciiTheme="minorHAnsi" w:hAnsiTheme="minorHAnsi" w:cstheme="minorHAnsi"/>
                <w:snapToGrid/>
                <w:szCs w:val="24"/>
                <w:lang w:eastAsia="zh-CN"/>
              </w:rPr>
            </w:pPr>
          </w:p>
        </w:tc>
      </w:tr>
      <w:tr w:rsidR="00C021E3" w:rsidRPr="00D30734" w14:paraId="1663F58F" w14:textId="77777777" w:rsidTr="005F51C4">
        <w:tc>
          <w:tcPr>
            <w:tcW w:w="2132" w:type="dxa"/>
          </w:tcPr>
          <w:p w14:paraId="1965563C" w14:textId="77777777" w:rsidR="00C021E3" w:rsidRPr="00C12328" w:rsidRDefault="00C021E3" w:rsidP="00C021E3">
            <w:pPr>
              <w:tabs>
                <w:tab w:val="left" w:pos="5711"/>
              </w:tabs>
              <w:rPr>
                <w:rFonts w:asciiTheme="minorHAnsi" w:hAnsiTheme="minorHAnsi" w:cstheme="minorHAnsi"/>
                <w:b/>
                <w:bCs/>
                <w:snapToGrid/>
                <w:szCs w:val="24"/>
                <w:lang w:eastAsia="zh-CN"/>
              </w:rPr>
            </w:pPr>
            <w:r w:rsidRPr="00C12328">
              <w:rPr>
                <w:rFonts w:asciiTheme="minorHAnsi" w:hAnsiTheme="minorHAnsi" w:cstheme="minorHAnsi"/>
                <w:b/>
                <w:bCs/>
                <w:snapToGrid/>
                <w:szCs w:val="24"/>
                <w:lang w:eastAsia="zh-CN"/>
              </w:rPr>
              <w:t>Maximum estimated budget available for the contract</w:t>
            </w:r>
          </w:p>
        </w:tc>
        <w:tc>
          <w:tcPr>
            <w:tcW w:w="7502" w:type="dxa"/>
          </w:tcPr>
          <w:p w14:paraId="5FA9F68A" w14:textId="11AB7662" w:rsidR="00C021E3" w:rsidRPr="00D30734" w:rsidRDefault="00F80FD6" w:rsidP="00C021E3">
            <w:pPr>
              <w:tabs>
                <w:tab w:val="left" w:pos="5711"/>
              </w:tabs>
              <w:rPr>
                <w:rFonts w:asciiTheme="minorHAnsi" w:hAnsiTheme="minorHAnsi" w:cstheme="minorHAnsi"/>
                <w:snapToGrid/>
                <w:szCs w:val="24"/>
                <w:lang w:eastAsia="zh-CN"/>
              </w:rPr>
            </w:pPr>
            <w:r>
              <w:rPr>
                <w:rFonts w:asciiTheme="minorHAnsi" w:hAnsiTheme="minorHAnsi" w:cstheme="minorHAnsi"/>
                <w:snapToGrid/>
                <w:szCs w:val="24"/>
                <w:lang w:eastAsia="zh-CN"/>
              </w:rPr>
              <w:t>EUR 144 000 (</w:t>
            </w:r>
            <w:r w:rsidRPr="00F80FD6">
              <w:rPr>
                <w:rFonts w:asciiTheme="minorHAnsi" w:hAnsiTheme="minorHAnsi" w:cstheme="minorHAnsi"/>
                <w:i/>
                <w:iCs/>
                <w:snapToGrid/>
                <w:szCs w:val="24"/>
                <w:lang w:eastAsia="zh-CN"/>
              </w:rPr>
              <w:t xml:space="preserve">one hundred </w:t>
            </w:r>
            <w:proofErr w:type="spellStart"/>
            <w:r w:rsidRPr="00F80FD6">
              <w:rPr>
                <w:rFonts w:asciiTheme="minorHAnsi" w:hAnsiTheme="minorHAnsi" w:cstheme="minorHAnsi"/>
                <w:i/>
                <w:iCs/>
                <w:snapToGrid/>
                <w:szCs w:val="24"/>
                <w:lang w:eastAsia="zh-CN"/>
              </w:rPr>
              <w:t>fourty</w:t>
            </w:r>
            <w:proofErr w:type="spellEnd"/>
            <w:r w:rsidRPr="00F80FD6">
              <w:rPr>
                <w:rFonts w:asciiTheme="minorHAnsi" w:hAnsiTheme="minorHAnsi" w:cstheme="minorHAnsi"/>
                <w:i/>
                <w:iCs/>
                <w:snapToGrid/>
                <w:szCs w:val="24"/>
                <w:lang w:eastAsia="zh-CN"/>
              </w:rPr>
              <w:t>-four thousand euro</w:t>
            </w:r>
            <w:r>
              <w:rPr>
                <w:rFonts w:asciiTheme="minorHAnsi" w:hAnsiTheme="minorHAnsi" w:cstheme="minorHAnsi"/>
                <w:snapToGrid/>
                <w:szCs w:val="24"/>
                <w:lang w:eastAsia="zh-CN"/>
              </w:rPr>
              <w:t>)</w:t>
            </w:r>
            <w:r w:rsidR="0022359C">
              <w:rPr>
                <w:rFonts w:asciiTheme="minorHAnsi" w:hAnsiTheme="minorHAnsi" w:cstheme="minorHAnsi"/>
                <w:snapToGrid/>
                <w:szCs w:val="24"/>
                <w:lang w:eastAsia="zh-CN"/>
              </w:rPr>
              <w:t xml:space="preserve"> </w:t>
            </w:r>
          </w:p>
        </w:tc>
      </w:tr>
      <w:tr w:rsidR="00771230" w:rsidRPr="00D30734" w14:paraId="38076BA4" w14:textId="77777777" w:rsidTr="005F51C4">
        <w:tc>
          <w:tcPr>
            <w:tcW w:w="2132" w:type="dxa"/>
            <w:shd w:val="clear" w:color="auto" w:fill="FFFFFF" w:themeFill="background1"/>
          </w:tcPr>
          <w:p w14:paraId="13D0383B" w14:textId="77777777" w:rsidR="00771230" w:rsidRPr="00C12328" w:rsidRDefault="00771230" w:rsidP="004C017B">
            <w:pPr>
              <w:tabs>
                <w:tab w:val="left" w:pos="5711"/>
              </w:tabs>
              <w:spacing w:after="0"/>
              <w:jc w:val="left"/>
              <w:rPr>
                <w:rFonts w:asciiTheme="minorHAnsi" w:hAnsiTheme="minorHAnsi" w:cstheme="minorHAnsi"/>
                <w:b/>
                <w:bCs/>
                <w:snapToGrid/>
                <w:szCs w:val="24"/>
                <w:lang w:eastAsia="zh-CN"/>
              </w:rPr>
            </w:pPr>
            <w:r w:rsidRPr="00C12328">
              <w:rPr>
                <w:rFonts w:asciiTheme="minorHAnsi" w:hAnsiTheme="minorHAnsi" w:cstheme="minorHAnsi"/>
                <w:b/>
                <w:bCs/>
                <w:snapToGrid/>
                <w:szCs w:val="24"/>
                <w:lang w:eastAsia="zh-CN"/>
              </w:rPr>
              <w:t>Duration of the contract</w:t>
            </w:r>
          </w:p>
        </w:tc>
        <w:tc>
          <w:tcPr>
            <w:tcW w:w="7502" w:type="dxa"/>
          </w:tcPr>
          <w:p w14:paraId="35F56B09" w14:textId="77777777" w:rsidR="00771230" w:rsidRDefault="00F80FD6" w:rsidP="0028029C">
            <w:pPr>
              <w:tabs>
                <w:tab w:val="left" w:pos="5711"/>
              </w:tabs>
              <w:spacing w:after="0"/>
              <w:rPr>
                <w:rFonts w:asciiTheme="minorHAnsi" w:hAnsiTheme="minorHAnsi" w:cstheme="minorHAnsi"/>
                <w:snapToGrid/>
                <w:szCs w:val="24"/>
                <w:lang w:eastAsia="zh-CN"/>
              </w:rPr>
            </w:pPr>
            <w:r>
              <w:rPr>
                <w:rFonts w:asciiTheme="minorHAnsi" w:hAnsiTheme="minorHAnsi" w:cstheme="minorHAnsi"/>
                <w:snapToGrid/>
                <w:szCs w:val="24"/>
                <w:lang w:eastAsia="zh-CN"/>
              </w:rPr>
              <w:t>48 months</w:t>
            </w:r>
          </w:p>
          <w:p w14:paraId="6A7370C2" w14:textId="77777777" w:rsidR="00896ECD" w:rsidRDefault="00896ECD" w:rsidP="0028029C">
            <w:pPr>
              <w:tabs>
                <w:tab w:val="left" w:pos="5711"/>
              </w:tabs>
              <w:spacing w:after="0"/>
              <w:rPr>
                <w:rFonts w:asciiTheme="minorHAnsi" w:hAnsiTheme="minorHAnsi" w:cstheme="minorHAnsi"/>
                <w:snapToGrid/>
                <w:szCs w:val="24"/>
                <w:lang w:eastAsia="zh-CN"/>
              </w:rPr>
            </w:pPr>
          </w:p>
          <w:p w14:paraId="1662DF67" w14:textId="77777777" w:rsidR="00896ECD" w:rsidRDefault="00896ECD" w:rsidP="0028029C">
            <w:pPr>
              <w:tabs>
                <w:tab w:val="left" w:pos="5711"/>
              </w:tabs>
              <w:spacing w:after="0"/>
              <w:rPr>
                <w:rFonts w:asciiTheme="minorHAnsi" w:hAnsiTheme="minorHAnsi" w:cstheme="minorHAnsi"/>
                <w:snapToGrid/>
                <w:szCs w:val="24"/>
                <w:lang w:eastAsia="zh-CN"/>
              </w:rPr>
            </w:pPr>
          </w:p>
          <w:p w14:paraId="3609FBA3" w14:textId="69B9C260" w:rsidR="00896ECD" w:rsidRPr="002906F9" w:rsidRDefault="00896ECD" w:rsidP="0028029C">
            <w:pPr>
              <w:tabs>
                <w:tab w:val="left" w:pos="5711"/>
              </w:tabs>
              <w:spacing w:after="0"/>
              <w:rPr>
                <w:rFonts w:asciiTheme="minorHAnsi" w:hAnsiTheme="minorHAnsi" w:cstheme="minorHAnsi"/>
                <w:snapToGrid/>
                <w:szCs w:val="24"/>
                <w:lang w:eastAsia="zh-CN"/>
              </w:rPr>
            </w:pPr>
          </w:p>
        </w:tc>
      </w:tr>
      <w:tr w:rsidR="00771230" w:rsidRPr="00D30734" w14:paraId="6DA7EDB0" w14:textId="77777777" w:rsidTr="005F51C4">
        <w:tc>
          <w:tcPr>
            <w:tcW w:w="2132" w:type="dxa"/>
          </w:tcPr>
          <w:p w14:paraId="0FB93ABD" w14:textId="5B8D4C5F" w:rsidR="00771230" w:rsidRPr="00C12328" w:rsidRDefault="00771230" w:rsidP="004C017B">
            <w:pPr>
              <w:tabs>
                <w:tab w:val="left" w:pos="5711"/>
              </w:tabs>
              <w:spacing w:after="0"/>
              <w:jc w:val="left"/>
              <w:rPr>
                <w:rFonts w:asciiTheme="minorHAnsi" w:hAnsiTheme="minorHAnsi" w:cstheme="minorHAnsi"/>
                <w:b/>
                <w:bCs/>
                <w:snapToGrid/>
                <w:szCs w:val="24"/>
                <w:lang w:eastAsia="zh-CN"/>
              </w:rPr>
            </w:pPr>
            <w:r w:rsidRPr="00C12328">
              <w:rPr>
                <w:rFonts w:asciiTheme="minorHAnsi" w:hAnsiTheme="minorHAnsi" w:cstheme="minorHAnsi"/>
                <w:b/>
                <w:bCs/>
                <w:snapToGrid/>
                <w:szCs w:val="24"/>
                <w:lang w:eastAsia="zh-CN"/>
              </w:rPr>
              <w:lastRenderedPageBreak/>
              <w:t>Subject matter of the contract</w:t>
            </w:r>
          </w:p>
        </w:tc>
        <w:tc>
          <w:tcPr>
            <w:tcW w:w="7502" w:type="dxa"/>
          </w:tcPr>
          <w:p w14:paraId="36C84144" w14:textId="77777777" w:rsidR="00896ECD" w:rsidRPr="00896ECD" w:rsidRDefault="00896ECD" w:rsidP="009D5367">
            <w:pPr>
              <w:tabs>
                <w:tab w:val="left" w:pos="5711"/>
              </w:tabs>
              <w:spacing w:after="0"/>
              <w:rPr>
                <w:rFonts w:asciiTheme="minorHAnsi" w:hAnsiTheme="minorHAnsi" w:cstheme="minorHAnsi"/>
                <w:b/>
                <w:bCs/>
                <w:snapToGrid/>
                <w:szCs w:val="24"/>
                <w:u w:val="single"/>
                <w:lang w:eastAsia="zh-CN"/>
              </w:rPr>
            </w:pPr>
            <w:r w:rsidRPr="00896ECD">
              <w:rPr>
                <w:rFonts w:asciiTheme="minorHAnsi" w:hAnsiTheme="minorHAnsi" w:cstheme="minorHAnsi"/>
                <w:b/>
                <w:bCs/>
                <w:snapToGrid/>
                <w:szCs w:val="24"/>
                <w:u w:val="single"/>
                <w:lang w:eastAsia="zh-CN"/>
              </w:rPr>
              <w:t>Background</w:t>
            </w:r>
          </w:p>
          <w:p w14:paraId="57E4E9CC" w14:textId="52D5A279" w:rsidR="00F80FD6" w:rsidRDefault="00F80FD6" w:rsidP="009D5367">
            <w:pPr>
              <w:tabs>
                <w:tab w:val="left" w:pos="5711"/>
              </w:tabs>
              <w:spacing w:after="0"/>
              <w:rPr>
                <w:rFonts w:asciiTheme="minorHAnsi" w:hAnsiTheme="minorHAnsi" w:cstheme="minorHAnsi"/>
                <w:snapToGrid/>
                <w:szCs w:val="24"/>
                <w:lang w:eastAsia="zh-CN"/>
              </w:rPr>
            </w:pPr>
            <w:r>
              <w:rPr>
                <w:rFonts w:asciiTheme="minorHAnsi" w:hAnsiTheme="minorHAnsi" w:cstheme="minorHAnsi"/>
                <w:snapToGrid/>
                <w:szCs w:val="24"/>
                <w:lang w:eastAsia="zh-CN"/>
              </w:rPr>
              <w:t xml:space="preserve">The VAT exemption privilege provided for in Art. 27.3 of </w:t>
            </w:r>
            <w:hyperlink r:id="rId12" w:history="1">
              <w:r w:rsidRPr="00AE05B5">
                <w:rPr>
                  <w:rStyle w:val="Hyperlink"/>
                  <w:rFonts w:asciiTheme="minorHAnsi" w:hAnsiTheme="minorHAnsi" w:cstheme="minorHAnsi"/>
                  <w:snapToGrid/>
                  <w:szCs w:val="24"/>
                  <w:lang w:eastAsia="zh-CN"/>
                </w:rPr>
                <w:t>Council Decision (CFSP) 2015/1835 of 12 October 2015</w:t>
              </w:r>
            </w:hyperlink>
            <w:r>
              <w:rPr>
                <w:rFonts w:asciiTheme="minorHAnsi" w:hAnsiTheme="minorHAnsi" w:cstheme="minorHAnsi"/>
                <w:snapToGrid/>
                <w:szCs w:val="24"/>
                <w:lang w:eastAsia="zh-CN"/>
              </w:rPr>
              <w:t xml:space="preserve"> is a significant financial incentive to boost cooperation between participating Member States in defence matters through Ad Hoc Projects and Programmes (P</w:t>
            </w:r>
            <w:r w:rsidR="00E07B2C">
              <w:rPr>
                <w:rFonts w:asciiTheme="minorHAnsi" w:hAnsiTheme="minorHAnsi" w:cstheme="minorHAnsi"/>
                <w:snapToGrid/>
                <w:szCs w:val="24"/>
                <w:lang w:eastAsia="zh-CN"/>
              </w:rPr>
              <w:t>A</w:t>
            </w:r>
            <w:r>
              <w:rPr>
                <w:rFonts w:asciiTheme="minorHAnsi" w:hAnsiTheme="minorHAnsi" w:cstheme="minorHAnsi"/>
                <w:snapToGrid/>
                <w:szCs w:val="24"/>
                <w:lang w:eastAsia="zh-CN"/>
              </w:rPr>
              <w:t>s) concluded under the EDA umbrella.</w:t>
            </w:r>
          </w:p>
          <w:p w14:paraId="5071706E" w14:textId="77777777" w:rsidR="009D5367" w:rsidRDefault="009D5367" w:rsidP="009D5367">
            <w:pPr>
              <w:tabs>
                <w:tab w:val="left" w:pos="5711"/>
              </w:tabs>
              <w:spacing w:after="0"/>
              <w:rPr>
                <w:rFonts w:asciiTheme="minorHAnsi" w:hAnsiTheme="minorHAnsi" w:cstheme="minorHAnsi"/>
                <w:snapToGrid/>
                <w:szCs w:val="24"/>
                <w:lang w:eastAsia="zh-CN"/>
              </w:rPr>
            </w:pPr>
          </w:p>
          <w:p w14:paraId="79B82EA9" w14:textId="77777777" w:rsidR="00E07B2C" w:rsidRDefault="00F80FD6" w:rsidP="009D5367">
            <w:pPr>
              <w:tabs>
                <w:tab w:val="left" w:pos="5711"/>
              </w:tabs>
              <w:spacing w:after="0"/>
              <w:rPr>
                <w:rFonts w:asciiTheme="minorHAnsi" w:hAnsiTheme="minorHAnsi" w:cstheme="minorHAnsi"/>
                <w:snapToGrid/>
                <w:szCs w:val="24"/>
                <w:lang w:eastAsia="zh-CN"/>
              </w:rPr>
            </w:pPr>
            <w:r>
              <w:rPr>
                <w:rFonts w:asciiTheme="minorHAnsi" w:hAnsiTheme="minorHAnsi" w:cstheme="minorHAnsi"/>
                <w:snapToGrid/>
                <w:szCs w:val="24"/>
                <w:lang w:eastAsia="zh-CN"/>
              </w:rPr>
              <w:t>The enjoyment of this privilege by EDA is subject to the fulfilment of some cumulative conditions inferable from diverse sources of EU public law which need to be interpreted and coordinated taking into consideration the specific features of each PA, including the underlying business model (i.e. the financial</w:t>
            </w:r>
            <w:r w:rsidR="00E07B2C">
              <w:rPr>
                <w:rFonts w:asciiTheme="minorHAnsi" w:hAnsiTheme="minorHAnsi" w:cstheme="minorHAnsi"/>
                <w:snapToGrid/>
                <w:szCs w:val="24"/>
                <w:lang w:eastAsia="zh-CN"/>
              </w:rPr>
              <w:t xml:space="preserve"> interaction between contributing Member States, EDA and private contractors).</w:t>
            </w:r>
          </w:p>
          <w:p w14:paraId="46C54B92" w14:textId="77777777" w:rsidR="009D5367" w:rsidRDefault="009D5367" w:rsidP="009D5367">
            <w:pPr>
              <w:tabs>
                <w:tab w:val="left" w:pos="5711"/>
              </w:tabs>
              <w:spacing w:after="0"/>
              <w:rPr>
                <w:rFonts w:asciiTheme="minorHAnsi" w:hAnsiTheme="minorHAnsi" w:cstheme="minorHAnsi"/>
                <w:snapToGrid/>
                <w:szCs w:val="24"/>
                <w:lang w:eastAsia="zh-CN"/>
              </w:rPr>
            </w:pPr>
          </w:p>
          <w:p w14:paraId="2DEBBDD0" w14:textId="2AF2FC49" w:rsidR="00E07B2C" w:rsidRDefault="00E07B2C" w:rsidP="009D5367">
            <w:pPr>
              <w:tabs>
                <w:tab w:val="left" w:pos="5711"/>
              </w:tabs>
              <w:spacing w:after="0"/>
              <w:rPr>
                <w:rFonts w:asciiTheme="minorHAnsi" w:hAnsiTheme="minorHAnsi" w:cstheme="minorHAnsi"/>
                <w:snapToGrid/>
                <w:szCs w:val="24"/>
                <w:lang w:eastAsia="zh-CN"/>
              </w:rPr>
            </w:pPr>
            <w:r>
              <w:rPr>
                <w:rFonts w:asciiTheme="minorHAnsi" w:hAnsiTheme="minorHAnsi" w:cstheme="minorHAnsi"/>
                <w:snapToGrid/>
                <w:szCs w:val="24"/>
                <w:lang w:eastAsia="zh-CN"/>
              </w:rPr>
              <w:t>The application of the VAT exemption privilege is not automatic but requires the setup of a working environment within EDA geared to pursue legal compliance ‘by design’. This entails tha</w:t>
            </w:r>
            <w:r w:rsidR="00AF29C1">
              <w:rPr>
                <w:rFonts w:asciiTheme="minorHAnsi" w:hAnsiTheme="minorHAnsi" w:cstheme="minorHAnsi"/>
                <w:snapToGrid/>
                <w:szCs w:val="24"/>
                <w:lang w:eastAsia="zh-CN"/>
              </w:rPr>
              <w:t>t</w:t>
            </w:r>
            <w:r>
              <w:rPr>
                <w:rFonts w:asciiTheme="minorHAnsi" w:hAnsiTheme="minorHAnsi" w:cstheme="minorHAnsi"/>
                <w:snapToGrid/>
                <w:szCs w:val="24"/>
                <w:lang w:eastAsia="zh-CN"/>
              </w:rPr>
              <w:t xml:space="preserve"> relevant actors of the decision –making process, from both the Corporate Service Directorate and the Operational Directorates, </w:t>
            </w:r>
            <w:proofErr w:type="spellStart"/>
            <w:r>
              <w:rPr>
                <w:rFonts w:asciiTheme="minorHAnsi" w:hAnsiTheme="minorHAnsi" w:cstheme="minorHAnsi"/>
                <w:snapToGrid/>
                <w:szCs w:val="24"/>
                <w:lang w:eastAsia="zh-CN"/>
              </w:rPr>
              <w:t>timelty</w:t>
            </w:r>
            <w:proofErr w:type="spellEnd"/>
            <w:r>
              <w:rPr>
                <w:rFonts w:asciiTheme="minorHAnsi" w:hAnsiTheme="minorHAnsi" w:cstheme="minorHAnsi"/>
                <w:snapToGrid/>
                <w:szCs w:val="24"/>
                <w:lang w:eastAsia="zh-CN"/>
              </w:rPr>
              <w:t xml:space="preserve"> receive the necessary technical advice to develop a harmonised and robust approach to topics and issues relating to VAT exemption. Hence the present request for legal advisory services.</w:t>
            </w:r>
          </w:p>
          <w:p w14:paraId="3F3DEF0D" w14:textId="77777777" w:rsidR="009D5367" w:rsidRDefault="009D5367" w:rsidP="009D5367">
            <w:pPr>
              <w:tabs>
                <w:tab w:val="left" w:pos="5711"/>
              </w:tabs>
              <w:spacing w:after="0"/>
              <w:rPr>
                <w:rFonts w:asciiTheme="minorHAnsi" w:hAnsiTheme="minorHAnsi" w:cstheme="minorHAnsi"/>
                <w:snapToGrid/>
                <w:szCs w:val="24"/>
                <w:lang w:eastAsia="zh-CN"/>
              </w:rPr>
            </w:pPr>
          </w:p>
          <w:p w14:paraId="2D7E1570" w14:textId="77777777" w:rsidR="00BF604A" w:rsidRPr="009D5367" w:rsidRDefault="0092389D" w:rsidP="009D5367">
            <w:pPr>
              <w:tabs>
                <w:tab w:val="left" w:pos="5711"/>
              </w:tabs>
              <w:spacing w:after="0"/>
              <w:rPr>
                <w:rFonts w:asciiTheme="minorHAnsi" w:hAnsiTheme="minorHAnsi" w:cstheme="minorHAnsi"/>
                <w:b/>
                <w:bCs/>
                <w:snapToGrid/>
                <w:szCs w:val="24"/>
                <w:u w:val="single"/>
                <w:lang w:eastAsia="zh-CN"/>
              </w:rPr>
            </w:pPr>
            <w:r w:rsidRPr="009D5367">
              <w:rPr>
                <w:rFonts w:asciiTheme="minorHAnsi" w:hAnsiTheme="minorHAnsi" w:cstheme="minorHAnsi"/>
                <w:b/>
                <w:bCs/>
                <w:snapToGrid/>
                <w:szCs w:val="24"/>
                <w:u w:val="single"/>
                <w:lang w:eastAsia="zh-CN"/>
              </w:rPr>
              <w:t>Main objective of the procurement</w:t>
            </w:r>
          </w:p>
          <w:p w14:paraId="41904AA4" w14:textId="761ED079" w:rsidR="0053303A" w:rsidRDefault="0053303A" w:rsidP="00C56683">
            <w:pPr>
              <w:tabs>
                <w:tab w:val="left" w:pos="5711"/>
              </w:tabs>
              <w:spacing w:after="0"/>
              <w:rPr>
                <w:rFonts w:asciiTheme="minorHAnsi" w:hAnsiTheme="minorHAnsi" w:cstheme="minorHAnsi"/>
                <w:snapToGrid/>
                <w:szCs w:val="24"/>
                <w:lang w:eastAsia="zh-CN"/>
              </w:rPr>
            </w:pPr>
            <w:r w:rsidRPr="0053303A">
              <w:rPr>
                <w:rFonts w:asciiTheme="minorHAnsi" w:hAnsiTheme="minorHAnsi" w:cstheme="minorHAnsi"/>
                <w:snapToGrid/>
                <w:szCs w:val="24"/>
                <w:lang w:eastAsia="zh-CN"/>
              </w:rPr>
              <w:t xml:space="preserve">EDA is launching a negotiated procedure for the provision of services concerning legal support and </w:t>
            </w:r>
            <w:r>
              <w:rPr>
                <w:rFonts w:asciiTheme="minorHAnsi" w:hAnsiTheme="minorHAnsi" w:cstheme="minorHAnsi"/>
                <w:snapToGrid/>
                <w:szCs w:val="24"/>
                <w:lang w:eastAsia="zh-CN"/>
              </w:rPr>
              <w:t>p</w:t>
            </w:r>
            <w:r w:rsidRPr="0053303A">
              <w:rPr>
                <w:rFonts w:asciiTheme="minorHAnsi" w:hAnsiTheme="minorHAnsi" w:cstheme="minorHAnsi"/>
                <w:snapToGrid/>
                <w:szCs w:val="24"/>
                <w:lang w:eastAsia="zh-CN"/>
              </w:rPr>
              <w:t>rovision of specialised advice on matters concerning VAT exemption.</w:t>
            </w:r>
          </w:p>
          <w:p w14:paraId="1730B60F" w14:textId="1489B93C" w:rsidR="008F65BE" w:rsidRDefault="008F65BE" w:rsidP="00C56683">
            <w:pPr>
              <w:tabs>
                <w:tab w:val="left" w:pos="5711"/>
              </w:tabs>
              <w:spacing w:after="0"/>
              <w:rPr>
                <w:rFonts w:asciiTheme="minorHAnsi" w:hAnsiTheme="minorHAnsi" w:cstheme="minorHAnsi"/>
                <w:snapToGrid/>
                <w:szCs w:val="24"/>
                <w:lang w:eastAsia="zh-CN"/>
              </w:rPr>
            </w:pPr>
            <w:r w:rsidRPr="008F65BE">
              <w:rPr>
                <w:rFonts w:asciiTheme="minorHAnsi" w:hAnsiTheme="minorHAnsi" w:cstheme="minorHAnsi"/>
                <w:snapToGrid/>
                <w:szCs w:val="24"/>
                <w:lang w:eastAsia="zh-CN"/>
              </w:rPr>
              <w:t>EDA wishes to conclude a framework contract. The purpose of the framework contract is to provide EDA with highly qualified external expertise at short notice.</w:t>
            </w:r>
          </w:p>
          <w:p w14:paraId="1E801641" w14:textId="77777777" w:rsidR="008F65BE" w:rsidRPr="0053303A" w:rsidRDefault="008F65BE" w:rsidP="00C56683">
            <w:pPr>
              <w:tabs>
                <w:tab w:val="left" w:pos="5711"/>
              </w:tabs>
              <w:spacing w:after="0"/>
              <w:rPr>
                <w:rFonts w:asciiTheme="minorHAnsi" w:hAnsiTheme="minorHAnsi" w:cstheme="minorHAnsi"/>
                <w:snapToGrid/>
                <w:szCs w:val="24"/>
                <w:lang w:eastAsia="zh-CN"/>
              </w:rPr>
            </w:pPr>
          </w:p>
          <w:p w14:paraId="2C3A463A" w14:textId="6EC98590" w:rsidR="009D5367" w:rsidRPr="009D5367" w:rsidRDefault="009D5367" w:rsidP="00C56683">
            <w:pPr>
              <w:tabs>
                <w:tab w:val="left" w:pos="5711"/>
              </w:tabs>
              <w:spacing w:after="0"/>
              <w:rPr>
                <w:rFonts w:asciiTheme="minorHAnsi" w:hAnsiTheme="minorHAnsi" w:cstheme="minorHAnsi"/>
                <w:snapToGrid/>
                <w:szCs w:val="24"/>
                <w:lang w:eastAsia="zh-CN"/>
              </w:rPr>
            </w:pPr>
            <w:r w:rsidRPr="009D5367">
              <w:rPr>
                <w:rFonts w:asciiTheme="minorHAnsi" w:hAnsiTheme="minorHAnsi" w:cstheme="minorHAnsi"/>
                <w:snapToGrid/>
                <w:szCs w:val="24"/>
                <w:lang w:eastAsia="zh-CN"/>
              </w:rPr>
              <w:t xml:space="preserve">EDA is looking for a law firm staffed by at least one senior lawyer, with specialisation in EU VAT law, to deliver tasks, on demand, </w:t>
            </w:r>
            <w:r w:rsidR="008D682D">
              <w:rPr>
                <w:rFonts w:asciiTheme="minorHAnsi" w:hAnsiTheme="minorHAnsi" w:cstheme="minorHAnsi"/>
                <w:snapToGrid/>
                <w:szCs w:val="24"/>
                <w:lang w:eastAsia="zh-CN"/>
              </w:rPr>
              <w:t>such as (non-ex</w:t>
            </w:r>
            <w:r w:rsidR="008F0C92">
              <w:rPr>
                <w:rFonts w:asciiTheme="minorHAnsi" w:hAnsiTheme="minorHAnsi" w:cstheme="minorHAnsi"/>
                <w:snapToGrid/>
                <w:szCs w:val="24"/>
                <w:lang w:eastAsia="zh-CN"/>
              </w:rPr>
              <w:t>h</w:t>
            </w:r>
            <w:r w:rsidR="008D682D">
              <w:rPr>
                <w:rFonts w:asciiTheme="minorHAnsi" w:hAnsiTheme="minorHAnsi" w:cstheme="minorHAnsi"/>
                <w:snapToGrid/>
                <w:szCs w:val="24"/>
                <w:lang w:eastAsia="zh-CN"/>
              </w:rPr>
              <w:t>austive</w:t>
            </w:r>
            <w:r w:rsidR="00571AFA">
              <w:rPr>
                <w:rFonts w:asciiTheme="minorHAnsi" w:hAnsiTheme="minorHAnsi" w:cstheme="minorHAnsi"/>
                <w:snapToGrid/>
                <w:szCs w:val="24"/>
                <w:lang w:eastAsia="zh-CN"/>
              </w:rPr>
              <w:t xml:space="preserve"> list</w:t>
            </w:r>
            <w:r w:rsidR="008D682D">
              <w:rPr>
                <w:rFonts w:asciiTheme="minorHAnsi" w:hAnsiTheme="minorHAnsi" w:cstheme="minorHAnsi"/>
                <w:snapToGrid/>
                <w:szCs w:val="24"/>
                <w:lang w:eastAsia="zh-CN"/>
              </w:rPr>
              <w:t>)</w:t>
            </w:r>
            <w:r w:rsidRPr="009D5367">
              <w:rPr>
                <w:rFonts w:asciiTheme="minorHAnsi" w:hAnsiTheme="minorHAnsi" w:cstheme="minorHAnsi"/>
                <w:snapToGrid/>
                <w:szCs w:val="24"/>
                <w:lang w:eastAsia="zh-CN"/>
              </w:rPr>
              <w:t>:</w:t>
            </w:r>
          </w:p>
          <w:p w14:paraId="06599C1C" w14:textId="77777777" w:rsidR="00C56683" w:rsidRDefault="00C56683" w:rsidP="00C56683">
            <w:pPr>
              <w:tabs>
                <w:tab w:val="left" w:pos="5711"/>
              </w:tabs>
              <w:spacing w:after="0"/>
              <w:rPr>
                <w:rFonts w:asciiTheme="minorHAnsi" w:hAnsiTheme="minorHAnsi" w:cstheme="minorHAnsi"/>
                <w:snapToGrid/>
                <w:szCs w:val="24"/>
                <w:lang w:eastAsia="zh-CN"/>
              </w:rPr>
            </w:pPr>
          </w:p>
          <w:p w14:paraId="7A510A9B" w14:textId="77777777" w:rsidR="00C56683" w:rsidRDefault="009D5367" w:rsidP="00DB4753">
            <w:pPr>
              <w:pStyle w:val="ListParagraph"/>
              <w:numPr>
                <w:ilvl w:val="0"/>
                <w:numId w:val="4"/>
              </w:numPr>
              <w:tabs>
                <w:tab w:val="left" w:pos="5711"/>
              </w:tabs>
              <w:rPr>
                <w:rFonts w:asciiTheme="minorHAnsi" w:hAnsiTheme="minorHAnsi" w:cstheme="minorHAnsi"/>
                <w:snapToGrid/>
                <w:szCs w:val="24"/>
                <w:lang w:eastAsia="zh-CN"/>
              </w:rPr>
            </w:pPr>
            <w:r w:rsidRPr="00C56683">
              <w:rPr>
                <w:rFonts w:asciiTheme="minorHAnsi" w:hAnsiTheme="minorHAnsi" w:cstheme="minorHAnsi"/>
                <w:snapToGrid/>
                <w:szCs w:val="24"/>
                <w:lang w:eastAsia="zh-CN"/>
              </w:rPr>
              <w:t>Training and Coaching covering the EU sources of law which are relevant to the application of the VAT exemption privilege to EDA. In particular, the below topics need to be covered:</w:t>
            </w:r>
          </w:p>
          <w:p w14:paraId="022EA8B9" w14:textId="77777777" w:rsidR="00C56683" w:rsidRDefault="009D5367" w:rsidP="00DB4753">
            <w:pPr>
              <w:pStyle w:val="ListParagraph"/>
              <w:numPr>
                <w:ilvl w:val="0"/>
                <w:numId w:val="5"/>
              </w:numPr>
              <w:tabs>
                <w:tab w:val="left" w:pos="5711"/>
              </w:tabs>
              <w:rPr>
                <w:rFonts w:asciiTheme="minorHAnsi" w:hAnsiTheme="minorHAnsi" w:cstheme="minorHAnsi"/>
                <w:snapToGrid/>
                <w:szCs w:val="24"/>
                <w:lang w:eastAsia="zh-CN"/>
              </w:rPr>
            </w:pPr>
            <w:r w:rsidRPr="00C56683">
              <w:rPr>
                <w:rFonts w:asciiTheme="minorHAnsi" w:hAnsiTheme="minorHAnsi" w:cstheme="minorHAnsi"/>
                <w:snapToGrid/>
                <w:szCs w:val="24"/>
                <w:lang w:eastAsia="zh-CN"/>
              </w:rPr>
              <w:t>Relationship between EDA Council Decision, VAT Directive, Protocol on Privileges and Immunities of the EU, case-law, national legislation;</w:t>
            </w:r>
            <w:r w:rsidR="00C56683" w:rsidRPr="00C56683">
              <w:rPr>
                <w:rFonts w:asciiTheme="minorHAnsi" w:hAnsiTheme="minorHAnsi" w:cstheme="minorHAnsi"/>
                <w:snapToGrid/>
                <w:szCs w:val="24"/>
                <w:lang w:eastAsia="zh-CN"/>
              </w:rPr>
              <w:t xml:space="preserve"> </w:t>
            </w:r>
          </w:p>
          <w:p w14:paraId="428C59D7" w14:textId="77777777" w:rsidR="00C56683" w:rsidRDefault="009D5367" w:rsidP="00DB4753">
            <w:pPr>
              <w:pStyle w:val="ListParagraph"/>
              <w:numPr>
                <w:ilvl w:val="0"/>
                <w:numId w:val="5"/>
              </w:numPr>
              <w:tabs>
                <w:tab w:val="left" w:pos="5711"/>
              </w:tabs>
              <w:rPr>
                <w:rFonts w:asciiTheme="minorHAnsi" w:hAnsiTheme="minorHAnsi" w:cstheme="minorHAnsi"/>
                <w:snapToGrid/>
                <w:szCs w:val="24"/>
                <w:lang w:eastAsia="zh-CN"/>
              </w:rPr>
            </w:pPr>
            <w:r w:rsidRPr="00C56683">
              <w:rPr>
                <w:rFonts w:asciiTheme="minorHAnsi" w:hAnsiTheme="minorHAnsi" w:cstheme="minorHAnsi"/>
                <w:snapToGrid/>
                <w:szCs w:val="24"/>
                <w:lang w:eastAsia="zh-CN"/>
              </w:rPr>
              <w:t>Subjective (</w:t>
            </w:r>
            <w:proofErr w:type="spellStart"/>
            <w:r w:rsidRPr="00C56683">
              <w:rPr>
                <w:rFonts w:asciiTheme="minorHAnsi" w:hAnsiTheme="minorHAnsi" w:cstheme="minorHAnsi"/>
                <w:snapToGrid/>
                <w:szCs w:val="24"/>
                <w:lang w:eastAsia="zh-CN"/>
              </w:rPr>
              <w:t>ratione</w:t>
            </w:r>
            <w:proofErr w:type="spellEnd"/>
            <w:r w:rsidRPr="00C56683">
              <w:rPr>
                <w:rFonts w:asciiTheme="minorHAnsi" w:hAnsiTheme="minorHAnsi" w:cstheme="minorHAnsi"/>
                <w:snapToGrid/>
                <w:szCs w:val="24"/>
                <w:lang w:eastAsia="zh-CN"/>
              </w:rPr>
              <w:t xml:space="preserve"> personae) and objective (</w:t>
            </w:r>
            <w:proofErr w:type="spellStart"/>
            <w:r w:rsidRPr="00C56683">
              <w:rPr>
                <w:rFonts w:asciiTheme="minorHAnsi" w:hAnsiTheme="minorHAnsi" w:cstheme="minorHAnsi"/>
                <w:snapToGrid/>
                <w:szCs w:val="24"/>
                <w:lang w:eastAsia="zh-CN"/>
              </w:rPr>
              <w:t>ratione</w:t>
            </w:r>
            <w:proofErr w:type="spellEnd"/>
            <w:r w:rsidRPr="00C56683">
              <w:rPr>
                <w:rFonts w:asciiTheme="minorHAnsi" w:hAnsiTheme="minorHAnsi" w:cstheme="minorHAnsi"/>
                <w:snapToGrid/>
                <w:szCs w:val="24"/>
                <w:lang w:eastAsia="zh-CN"/>
              </w:rPr>
              <w:t xml:space="preserve"> </w:t>
            </w:r>
            <w:proofErr w:type="spellStart"/>
            <w:r w:rsidRPr="00C56683">
              <w:rPr>
                <w:rFonts w:asciiTheme="minorHAnsi" w:hAnsiTheme="minorHAnsi" w:cstheme="minorHAnsi"/>
                <w:snapToGrid/>
                <w:szCs w:val="24"/>
                <w:lang w:eastAsia="zh-CN"/>
              </w:rPr>
              <w:t>materiae</w:t>
            </w:r>
            <w:proofErr w:type="spellEnd"/>
            <w:r w:rsidRPr="00C56683">
              <w:rPr>
                <w:rFonts w:asciiTheme="minorHAnsi" w:hAnsiTheme="minorHAnsi" w:cstheme="minorHAnsi"/>
                <w:snapToGrid/>
                <w:szCs w:val="24"/>
                <w:lang w:eastAsia="zh-CN"/>
              </w:rPr>
              <w:t>) requirements for the eligibility to VAT exemption by EDA in the frame of PAs;</w:t>
            </w:r>
            <w:r w:rsidR="00C56683" w:rsidRPr="00C56683">
              <w:rPr>
                <w:rFonts w:asciiTheme="minorHAnsi" w:hAnsiTheme="minorHAnsi" w:cstheme="minorHAnsi"/>
                <w:snapToGrid/>
                <w:szCs w:val="24"/>
                <w:lang w:eastAsia="zh-CN"/>
              </w:rPr>
              <w:t xml:space="preserve"> </w:t>
            </w:r>
          </w:p>
          <w:p w14:paraId="1BB5E8CF" w14:textId="77777777" w:rsidR="00C56683" w:rsidRDefault="009D5367" w:rsidP="00DB4753">
            <w:pPr>
              <w:pStyle w:val="ListParagraph"/>
              <w:numPr>
                <w:ilvl w:val="0"/>
                <w:numId w:val="5"/>
              </w:numPr>
              <w:tabs>
                <w:tab w:val="left" w:pos="5711"/>
              </w:tabs>
              <w:rPr>
                <w:rFonts w:asciiTheme="minorHAnsi" w:hAnsiTheme="minorHAnsi" w:cstheme="minorHAnsi"/>
                <w:snapToGrid/>
                <w:szCs w:val="24"/>
                <w:lang w:eastAsia="zh-CN"/>
              </w:rPr>
            </w:pPr>
            <w:r w:rsidRPr="00C56683">
              <w:rPr>
                <w:rFonts w:asciiTheme="minorHAnsi" w:hAnsiTheme="minorHAnsi" w:cstheme="minorHAnsi"/>
                <w:snapToGrid/>
                <w:szCs w:val="24"/>
                <w:lang w:eastAsia="zh-CN"/>
              </w:rPr>
              <w:t>Exclusions;</w:t>
            </w:r>
            <w:r w:rsidR="00C56683" w:rsidRPr="00C56683">
              <w:rPr>
                <w:rFonts w:asciiTheme="minorHAnsi" w:hAnsiTheme="minorHAnsi" w:cstheme="minorHAnsi"/>
                <w:snapToGrid/>
                <w:szCs w:val="24"/>
                <w:lang w:eastAsia="zh-CN"/>
              </w:rPr>
              <w:t xml:space="preserve"> </w:t>
            </w:r>
          </w:p>
          <w:p w14:paraId="3D9EAA21" w14:textId="4DC9FB93" w:rsidR="009D5367" w:rsidRDefault="009D5367" w:rsidP="00DB4753">
            <w:pPr>
              <w:pStyle w:val="ListParagraph"/>
              <w:numPr>
                <w:ilvl w:val="0"/>
                <w:numId w:val="5"/>
              </w:numPr>
              <w:tabs>
                <w:tab w:val="left" w:pos="5711"/>
              </w:tabs>
              <w:spacing w:after="0"/>
              <w:rPr>
                <w:rFonts w:asciiTheme="minorHAnsi" w:hAnsiTheme="minorHAnsi" w:cstheme="minorHAnsi"/>
                <w:snapToGrid/>
                <w:szCs w:val="24"/>
                <w:lang w:eastAsia="zh-CN"/>
              </w:rPr>
            </w:pPr>
            <w:r w:rsidRPr="00C56683">
              <w:rPr>
                <w:rFonts w:asciiTheme="minorHAnsi" w:hAnsiTheme="minorHAnsi" w:cstheme="minorHAnsi"/>
                <w:snapToGrid/>
                <w:szCs w:val="24"/>
                <w:lang w:eastAsia="zh-CN"/>
              </w:rPr>
              <w:t>Business models (including chain of transactions) and implications in terms of identification of the applicable VAT regime.</w:t>
            </w:r>
          </w:p>
          <w:p w14:paraId="58C51470" w14:textId="77777777" w:rsidR="00270EC2" w:rsidRPr="00C56683" w:rsidRDefault="00270EC2" w:rsidP="00270EC2">
            <w:pPr>
              <w:pStyle w:val="ListParagraph"/>
              <w:tabs>
                <w:tab w:val="left" w:pos="5711"/>
              </w:tabs>
              <w:spacing w:after="0"/>
              <w:ind w:left="1080"/>
              <w:rPr>
                <w:rFonts w:asciiTheme="minorHAnsi" w:hAnsiTheme="minorHAnsi" w:cstheme="minorHAnsi"/>
                <w:snapToGrid/>
                <w:szCs w:val="24"/>
                <w:lang w:eastAsia="zh-CN"/>
              </w:rPr>
            </w:pPr>
          </w:p>
          <w:p w14:paraId="0AF1988C" w14:textId="77777777" w:rsidR="009D5367" w:rsidRPr="00270EC2" w:rsidRDefault="009D5367" w:rsidP="00DB4753">
            <w:pPr>
              <w:pStyle w:val="ListParagraph"/>
              <w:numPr>
                <w:ilvl w:val="0"/>
                <w:numId w:val="4"/>
              </w:numPr>
              <w:tabs>
                <w:tab w:val="left" w:pos="5711"/>
              </w:tabs>
              <w:spacing w:after="0"/>
              <w:rPr>
                <w:rFonts w:asciiTheme="minorHAnsi" w:hAnsiTheme="minorHAnsi" w:cstheme="minorHAnsi"/>
                <w:snapToGrid/>
                <w:szCs w:val="24"/>
                <w:lang w:eastAsia="zh-CN"/>
              </w:rPr>
            </w:pPr>
            <w:r w:rsidRPr="00270EC2">
              <w:rPr>
                <w:rFonts w:asciiTheme="minorHAnsi" w:hAnsiTheme="minorHAnsi" w:cstheme="minorHAnsi"/>
                <w:snapToGrid/>
                <w:szCs w:val="24"/>
                <w:lang w:eastAsia="zh-CN"/>
              </w:rPr>
              <w:lastRenderedPageBreak/>
              <w:t>Preparing and sharing on a quarterly basis a tailored digest of relevant case-law and VAT Committee’s opinions which may affect EDA’s activities.</w:t>
            </w:r>
          </w:p>
          <w:p w14:paraId="710F6DBC" w14:textId="77777777" w:rsidR="009D5367" w:rsidRPr="00943415" w:rsidRDefault="009D5367" w:rsidP="00943415">
            <w:pPr>
              <w:pStyle w:val="ListParagraph"/>
              <w:tabs>
                <w:tab w:val="left" w:pos="5711"/>
              </w:tabs>
              <w:ind w:left="1080"/>
              <w:rPr>
                <w:rFonts w:asciiTheme="minorHAnsi" w:hAnsiTheme="minorHAnsi" w:cstheme="minorHAnsi"/>
                <w:snapToGrid/>
                <w:szCs w:val="24"/>
                <w:lang w:eastAsia="zh-CN"/>
              </w:rPr>
            </w:pPr>
          </w:p>
          <w:p w14:paraId="77F1B28A" w14:textId="77777777" w:rsidR="009D5367" w:rsidRPr="002275DE" w:rsidRDefault="009D5367" w:rsidP="00DB4753">
            <w:pPr>
              <w:pStyle w:val="ListParagraph"/>
              <w:numPr>
                <w:ilvl w:val="0"/>
                <w:numId w:val="4"/>
              </w:numPr>
              <w:tabs>
                <w:tab w:val="left" w:pos="5711"/>
              </w:tabs>
              <w:rPr>
                <w:rFonts w:asciiTheme="minorHAnsi" w:hAnsiTheme="minorHAnsi" w:cstheme="minorHAnsi"/>
                <w:snapToGrid/>
                <w:szCs w:val="24"/>
                <w:lang w:eastAsia="zh-CN"/>
              </w:rPr>
            </w:pPr>
            <w:r w:rsidRPr="002275DE">
              <w:rPr>
                <w:rFonts w:asciiTheme="minorHAnsi" w:hAnsiTheme="minorHAnsi" w:cstheme="minorHAnsi"/>
                <w:snapToGrid/>
                <w:szCs w:val="24"/>
                <w:lang w:eastAsia="zh-CN"/>
              </w:rPr>
              <w:t>Support in refining and streamlining the contents of the compliance tools developed by EDA, and in particular the VAT Exemption Verification Check-list/Business case.</w:t>
            </w:r>
          </w:p>
          <w:p w14:paraId="135E3561" w14:textId="77777777" w:rsidR="00571AFA" w:rsidRDefault="00571AFA" w:rsidP="00571AFA">
            <w:pPr>
              <w:pStyle w:val="ListParagraph"/>
              <w:tabs>
                <w:tab w:val="left" w:pos="5711"/>
              </w:tabs>
              <w:rPr>
                <w:rFonts w:asciiTheme="minorHAnsi" w:hAnsiTheme="minorHAnsi" w:cstheme="minorHAnsi"/>
                <w:snapToGrid/>
                <w:szCs w:val="24"/>
                <w:lang w:eastAsia="zh-CN"/>
              </w:rPr>
            </w:pPr>
          </w:p>
          <w:p w14:paraId="606737DA" w14:textId="4415CCCA" w:rsidR="009D5367" w:rsidRDefault="009D5367" w:rsidP="00DB4753">
            <w:pPr>
              <w:pStyle w:val="ListParagraph"/>
              <w:numPr>
                <w:ilvl w:val="0"/>
                <w:numId w:val="4"/>
              </w:numPr>
              <w:tabs>
                <w:tab w:val="left" w:pos="5711"/>
              </w:tabs>
              <w:rPr>
                <w:rFonts w:asciiTheme="minorHAnsi" w:hAnsiTheme="minorHAnsi" w:cstheme="minorHAnsi"/>
                <w:snapToGrid/>
                <w:szCs w:val="24"/>
                <w:lang w:eastAsia="zh-CN"/>
              </w:rPr>
            </w:pPr>
            <w:r w:rsidRPr="00943415">
              <w:rPr>
                <w:rFonts w:asciiTheme="minorHAnsi" w:hAnsiTheme="minorHAnsi" w:cstheme="minorHAnsi"/>
                <w:snapToGrid/>
                <w:szCs w:val="24"/>
                <w:lang w:eastAsia="zh-CN"/>
              </w:rPr>
              <w:t>Advice EDA on complex cases concerning the possible entitlement to VAT exemption under envisaged PAs. This may include advice on how to frame the business model to ensure compliance with the applicable rules.</w:t>
            </w:r>
          </w:p>
          <w:p w14:paraId="02634C16" w14:textId="77777777" w:rsidR="001455DA" w:rsidRPr="001455DA" w:rsidRDefault="001455DA" w:rsidP="0046622F">
            <w:pPr>
              <w:pStyle w:val="ListParagraph"/>
              <w:tabs>
                <w:tab w:val="left" w:pos="5711"/>
              </w:tabs>
              <w:rPr>
                <w:rFonts w:asciiTheme="minorHAnsi" w:hAnsiTheme="minorHAnsi" w:cstheme="minorHAnsi"/>
                <w:snapToGrid/>
                <w:szCs w:val="24"/>
                <w:lang w:eastAsia="zh-CN"/>
              </w:rPr>
            </w:pPr>
          </w:p>
          <w:p w14:paraId="270FE569" w14:textId="2B25B242" w:rsidR="0046622F" w:rsidRPr="002A1A30" w:rsidRDefault="009D5367" w:rsidP="00DB4753">
            <w:pPr>
              <w:pStyle w:val="ListParagraph"/>
              <w:numPr>
                <w:ilvl w:val="0"/>
                <w:numId w:val="4"/>
              </w:numPr>
              <w:tabs>
                <w:tab w:val="left" w:pos="5711"/>
              </w:tabs>
              <w:rPr>
                <w:rFonts w:asciiTheme="minorHAnsi" w:hAnsiTheme="minorHAnsi" w:cstheme="minorHAnsi"/>
                <w:snapToGrid/>
                <w:szCs w:val="24"/>
                <w:lang w:eastAsia="zh-CN"/>
              </w:rPr>
            </w:pPr>
            <w:r w:rsidRPr="0046622F">
              <w:rPr>
                <w:rFonts w:asciiTheme="minorHAnsi" w:hAnsiTheme="minorHAnsi" w:cstheme="minorHAnsi"/>
                <w:snapToGrid/>
                <w:szCs w:val="24"/>
                <w:lang w:eastAsia="zh-CN"/>
              </w:rPr>
              <w:t>Liaising with the relevant EU institutions in VAT-related matters</w:t>
            </w:r>
            <w:r w:rsidR="0046622F" w:rsidRPr="0046622F">
              <w:rPr>
                <w:rFonts w:asciiTheme="minorHAnsi" w:hAnsiTheme="minorHAnsi" w:cstheme="minorHAnsi"/>
                <w:snapToGrid/>
                <w:szCs w:val="24"/>
                <w:lang w:eastAsia="zh-CN"/>
              </w:rPr>
              <w:t>.</w:t>
            </w:r>
          </w:p>
          <w:p w14:paraId="4B8777E8" w14:textId="77777777" w:rsidR="0046622F" w:rsidRPr="0046622F" w:rsidRDefault="0046622F" w:rsidP="002A1A30">
            <w:pPr>
              <w:pStyle w:val="ListParagraph"/>
              <w:tabs>
                <w:tab w:val="left" w:pos="5711"/>
              </w:tabs>
              <w:rPr>
                <w:rFonts w:asciiTheme="minorHAnsi" w:hAnsiTheme="minorHAnsi" w:cstheme="minorHAnsi"/>
                <w:snapToGrid/>
                <w:szCs w:val="24"/>
                <w:lang w:eastAsia="zh-CN"/>
              </w:rPr>
            </w:pPr>
          </w:p>
          <w:p w14:paraId="3CA6390E" w14:textId="21EAE2B6" w:rsidR="002A1A30" w:rsidRPr="002A1A30" w:rsidRDefault="009D5367" w:rsidP="00DB4753">
            <w:pPr>
              <w:pStyle w:val="ListParagraph"/>
              <w:numPr>
                <w:ilvl w:val="0"/>
                <w:numId w:val="4"/>
              </w:numPr>
              <w:tabs>
                <w:tab w:val="left" w:pos="5711"/>
              </w:tabs>
              <w:rPr>
                <w:rFonts w:asciiTheme="minorHAnsi" w:hAnsiTheme="minorHAnsi" w:cstheme="minorHAnsi"/>
                <w:snapToGrid/>
                <w:szCs w:val="24"/>
                <w:lang w:eastAsia="zh-CN"/>
              </w:rPr>
            </w:pPr>
            <w:r w:rsidRPr="0046622F">
              <w:rPr>
                <w:rFonts w:asciiTheme="minorHAnsi" w:hAnsiTheme="minorHAnsi" w:cstheme="minorHAnsi"/>
                <w:snapToGrid/>
                <w:szCs w:val="24"/>
                <w:lang w:eastAsia="zh-CN"/>
              </w:rPr>
              <w:t>Liaise, on EDA’s request, with the European Commission, including the VAT Committee.</w:t>
            </w:r>
          </w:p>
          <w:p w14:paraId="123D44DD" w14:textId="77777777" w:rsidR="002A1A30" w:rsidRDefault="002A1A30" w:rsidP="002A1A30">
            <w:pPr>
              <w:pStyle w:val="ListParagraph"/>
              <w:tabs>
                <w:tab w:val="left" w:pos="5711"/>
              </w:tabs>
              <w:rPr>
                <w:rFonts w:asciiTheme="minorHAnsi" w:hAnsiTheme="minorHAnsi" w:cstheme="minorHAnsi"/>
                <w:snapToGrid/>
                <w:szCs w:val="24"/>
                <w:lang w:eastAsia="zh-CN"/>
              </w:rPr>
            </w:pPr>
          </w:p>
          <w:p w14:paraId="6255A7B8" w14:textId="20329578" w:rsidR="009D5367" w:rsidRDefault="009D5367" w:rsidP="00DB4753">
            <w:pPr>
              <w:pStyle w:val="ListParagraph"/>
              <w:numPr>
                <w:ilvl w:val="0"/>
                <w:numId w:val="4"/>
              </w:numPr>
              <w:tabs>
                <w:tab w:val="left" w:pos="5711"/>
              </w:tabs>
              <w:spacing w:after="0"/>
              <w:rPr>
                <w:rFonts w:asciiTheme="minorHAnsi" w:hAnsiTheme="minorHAnsi" w:cstheme="minorHAnsi"/>
                <w:snapToGrid/>
                <w:szCs w:val="24"/>
                <w:lang w:eastAsia="zh-CN"/>
              </w:rPr>
            </w:pPr>
            <w:r w:rsidRPr="0046622F">
              <w:rPr>
                <w:rFonts w:asciiTheme="minorHAnsi" w:hAnsiTheme="minorHAnsi" w:cstheme="minorHAnsi"/>
                <w:snapToGrid/>
                <w:szCs w:val="24"/>
                <w:lang w:eastAsia="zh-CN"/>
              </w:rPr>
              <w:t>Support EDA to provide, if so requested, inputs to proactively feed the process for the legislative reform of the VAT Directive, in particular concerning the desirable broadening of the scope of application of Art. 151 to EU common defence efforts.</w:t>
            </w:r>
          </w:p>
          <w:p w14:paraId="50037BE6" w14:textId="77777777" w:rsidR="00571AFA" w:rsidRPr="00571AFA" w:rsidRDefault="00571AFA" w:rsidP="00571AFA">
            <w:pPr>
              <w:pStyle w:val="ListParagraph"/>
              <w:rPr>
                <w:rFonts w:asciiTheme="minorHAnsi" w:hAnsiTheme="minorHAnsi" w:cstheme="minorHAnsi"/>
                <w:snapToGrid/>
                <w:szCs w:val="24"/>
                <w:lang w:eastAsia="zh-CN"/>
              </w:rPr>
            </w:pPr>
          </w:p>
          <w:p w14:paraId="4F9CDE28" w14:textId="2455E4ED" w:rsidR="00571AFA" w:rsidRDefault="00837479" w:rsidP="00DB4753">
            <w:pPr>
              <w:pStyle w:val="ListParagraph"/>
              <w:numPr>
                <w:ilvl w:val="0"/>
                <w:numId w:val="4"/>
              </w:numPr>
              <w:tabs>
                <w:tab w:val="left" w:pos="5711"/>
              </w:tabs>
              <w:spacing w:after="0"/>
              <w:rPr>
                <w:rFonts w:asciiTheme="minorHAnsi" w:hAnsiTheme="minorHAnsi" w:cstheme="minorHAnsi"/>
                <w:snapToGrid/>
                <w:szCs w:val="24"/>
                <w:lang w:eastAsia="zh-CN"/>
              </w:rPr>
            </w:pPr>
            <w:r>
              <w:rPr>
                <w:rFonts w:asciiTheme="minorHAnsi" w:hAnsiTheme="minorHAnsi" w:cstheme="minorHAnsi"/>
                <w:snapToGrid/>
                <w:szCs w:val="24"/>
                <w:lang w:eastAsia="zh-CN"/>
              </w:rPr>
              <w:t>Written a</w:t>
            </w:r>
            <w:r w:rsidR="00683000" w:rsidRPr="00683000">
              <w:rPr>
                <w:rFonts w:asciiTheme="minorHAnsi" w:hAnsiTheme="minorHAnsi" w:cstheme="minorHAnsi"/>
                <w:snapToGrid/>
                <w:szCs w:val="24"/>
                <w:lang w:eastAsia="zh-CN"/>
              </w:rPr>
              <w:t>nalys</w:t>
            </w:r>
            <w:r>
              <w:rPr>
                <w:rFonts w:asciiTheme="minorHAnsi" w:hAnsiTheme="minorHAnsi" w:cstheme="minorHAnsi"/>
                <w:snapToGrid/>
                <w:szCs w:val="24"/>
                <w:lang w:eastAsia="zh-CN"/>
              </w:rPr>
              <w:t>is</w:t>
            </w:r>
            <w:r w:rsidR="00683000" w:rsidRPr="00683000">
              <w:rPr>
                <w:rFonts w:asciiTheme="minorHAnsi" w:hAnsiTheme="minorHAnsi" w:cstheme="minorHAnsi"/>
                <w:snapToGrid/>
                <w:szCs w:val="24"/>
                <w:lang w:eastAsia="zh-CN"/>
              </w:rPr>
              <w:t xml:space="preserve"> </w:t>
            </w:r>
            <w:r>
              <w:rPr>
                <w:rFonts w:asciiTheme="minorHAnsi" w:hAnsiTheme="minorHAnsi" w:cstheme="minorHAnsi"/>
                <w:snapToGrid/>
                <w:szCs w:val="24"/>
                <w:lang w:eastAsia="zh-CN"/>
              </w:rPr>
              <w:t>of any</w:t>
            </w:r>
            <w:r w:rsidR="00683000" w:rsidRPr="00683000">
              <w:rPr>
                <w:rFonts w:asciiTheme="minorHAnsi" w:hAnsiTheme="minorHAnsi" w:cstheme="minorHAnsi"/>
                <w:snapToGrid/>
                <w:szCs w:val="24"/>
                <w:lang w:eastAsia="zh-CN"/>
              </w:rPr>
              <w:t xml:space="preserve"> document</w:t>
            </w:r>
            <w:r w:rsidR="00B70ED3">
              <w:rPr>
                <w:rFonts w:asciiTheme="minorHAnsi" w:hAnsiTheme="minorHAnsi" w:cstheme="minorHAnsi"/>
                <w:snapToGrid/>
                <w:szCs w:val="24"/>
                <w:lang w:eastAsia="zh-CN"/>
              </w:rPr>
              <w:t xml:space="preserve"> related to VAT matter</w:t>
            </w:r>
            <w:r w:rsidR="00406921">
              <w:rPr>
                <w:rFonts w:asciiTheme="minorHAnsi" w:hAnsiTheme="minorHAnsi" w:cstheme="minorHAnsi"/>
                <w:snapToGrid/>
                <w:szCs w:val="24"/>
                <w:lang w:eastAsia="zh-CN"/>
              </w:rPr>
              <w:t xml:space="preserve"> </w:t>
            </w:r>
            <w:r w:rsidR="00683000" w:rsidRPr="00683000">
              <w:rPr>
                <w:rFonts w:asciiTheme="minorHAnsi" w:hAnsiTheme="minorHAnsi" w:cstheme="minorHAnsi"/>
                <w:snapToGrid/>
                <w:szCs w:val="24"/>
                <w:lang w:eastAsia="zh-CN"/>
              </w:rPr>
              <w:t xml:space="preserve">involving </w:t>
            </w:r>
            <w:r w:rsidR="00BE1ADE">
              <w:rPr>
                <w:rFonts w:asciiTheme="minorHAnsi" w:hAnsiTheme="minorHAnsi" w:cstheme="minorHAnsi"/>
                <w:snapToGrid/>
                <w:szCs w:val="24"/>
                <w:lang w:eastAsia="zh-CN"/>
              </w:rPr>
              <w:t>EDA</w:t>
            </w:r>
            <w:r w:rsidR="00683000" w:rsidRPr="00683000">
              <w:rPr>
                <w:rFonts w:asciiTheme="minorHAnsi" w:hAnsiTheme="minorHAnsi" w:cstheme="minorHAnsi"/>
                <w:snapToGrid/>
                <w:szCs w:val="24"/>
                <w:lang w:eastAsia="zh-CN"/>
              </w:rPr>
              <w:t xml:space="preserve"> and provide legal advice thereon</w:t>
            </w:r>
            <w:r>
              <w:rPr>
                <w:rFonts w:asciiTheme="minorHAnsi" w:hAnsiTheme="minorHAnsi" w:cstheme="minorHAnsi"/>
                <w:snapToGrid/>
                <w:szCs w:val="24"/>
                <w:lang w:eastAsia="zh-CN"/>
              </w:rPr>
              <w:t>, including recommendations on lessons to be learnt and follow up actions.</w:t>
            </w:r>
          </w:p>
          <w:p w14:paraId="0FDB1561" w14:textId="77777777" w:rsidR="00571AFA" w:rsidRDefault="00571AFA" w:rsidP="001A5CEE">
            <w:pPr>
              <w:tabs>
                <w:tab w:val="left" w:pos="5711"/>
              </w:tabs>
              <w:spacing w:after="0"/>
              <w:rPr>
                <w:rFonts w:asciiTheme="minorHAnsi" w:hAnsiTheme="minorHAnsi" w:cstheme="minorHAnsi"/>
                <w:snapToGrid/>
                <w:szCs w:val="24"/>
                <w:lang w:eastAsia="zh-CN"/>
              </w:rPr>
            </w:pPr>
          </w:p>
          <w:p w14:paraId="05ED4948" w14:textId="2EFB265E" w:rsidR="009D5367" w:rsidRPr="001A5CEE" w:rsidRDefault="009D5367" w:rsidP="001A5CEE">
            <w:pPr>
              <w:tabs>
                <w:tab w:val="left" w:pos="5711"/>
              </w:tabs>
              <w:spacing w:after="0"/>
              <w:rPr>
                <w:rFonts w:asciiTheme="minorHAnsi" w:hAnsiTheme="minorHAnsi" w:cstheme="minorHAnsi"/>
                <w:snapToGrid/>
                <w:szCs w:val="24"/>
                <w:lang w:eastAsia="zh-CN"/>
              </w:rPr>
            </w:pPr>
            <w:r w:rsidRPr="001A5CEE">
              <w:rPr>
                <w:rFonts w:asciiTheme="minorHAnsi" w:hAnsiTheme="minorHAnsi" w:cstheme="minorHAnsi"/>
                <w:snapToGrid/>
                <w:szCs w:val="24"/>
                <w:lang w:eastAsia="zh-CN"/>
              </w:rPr>
              <w:t>NB None of the above tasks will include legal services in the pre-litigation and litigation phases.</w:t>
            </w:r>
          </w:p>
          <w:p w14:paraId="7B20FFC8" w14:textId="77777777" w:rsidR="009D5367" w:rsidRPr="001A5CEE" w:rsidRDefault="009D5367" w:rsidP="001A5CEE">
            <w:pPr>
              <w:tabs>
                <w:tab w:val="left" w:pos="5711"/>
              </w:tabs>
              <w:spacing w:after="0"/>
              <w:rPr>
                <w:rFonts w:asciiTheme="minorHAnsi" w:hAnsiTheme="minorHAnsi" w:cstheme="minorHAnsi"/>
                <w:b/>
                <w:bCs/>
                <w:snapToGrid/>
                <w:szCs w:val="24"/>
                <w:u w:val="single"/>
                <w:lang w:eastAsia="zh-CN"/>
              </w:rPr>
            </w:pPr>
          </w:p>
          <w:p w14:paraId="3C019770" w14:textId="77777777" w:rsidR="009D5367" w:rsidRPr="001A5CEE" w:rsidRDefault="009D5367" w:rsidP="001A5CEE">
            <w:pPr>
              <w:tabs>
                <w:tab w:val="left" w:pos="5711"/>
              </w:tabs>
              <w:spacing w:after="0"/>
              <w:rPr>
                <w:rFonts w:asciiTheme="minorHAnsi" w:hAnsiTheme="minorHAnsi" w:cstheme="minorHAnsi"/>
                <w:b/>
                <w:bCs/>
                <w:snapToGrid/>
                <w:szCs w:val="24"/>
                <w:u w:val="single"/>
                <w:lang w:eastAsia="zh-CN"/>
              </w:rPr>
            </w:pPr>
            <w:r w:rsidRPr="001A5CEE">
              <w:rPr>
                <w:rFonts w:asciiTheme="minorHAnsi" w:hAnsiTheme="minorHAnsi" w:cstheme="minorHAnsi"/>
                <w:b/>
                <w:bCs/>
                <w:snapToGrid/>
                <w:szCs w:val="24"/>
                <w:u w:val="single"/>
                <w:lang w:eastAsia="zh-CN"/>
              </w:rPr>
              <w:t>Work modalities</w:t>
            </w:r>
          </w:p>
          <w:p w14:paraId="500F1510" w14:textId="6974F197" w:rsidR="0092389D" w:rsidRPr="00507757" w:rsidRDefault="009D5367" w:rsidP="00507757">
            <w:pPr>
              <w:tabs>
                <w:tab w:val="left" w:pos="5711"/>
              </w:tabs>
              <w:rPr>
                <w:rFonts w:asciiTheme="minorHAnsi" w:hAnsiTheme="minorHAnsi" w:cstheme="minorHAnsi"/>
                <w:snapToGrid/>
                <w:szCs w:val="24"/>
                <w:lang w:eastAsia="zh-CN"/>
              </w:rPr>
            </w:pPr>
            <w:r w:rsidRPr="001A5CEE">
              <w:rPr>
                <w:rFonts w:asciiTheme="minorHAnsi" w:hAnsiTheme="minorHAnsi" w:cstheme="minorHAnsi"/>
                <w:snapToGrid/>
                <w:szCs w:val="24"/>
                <w:lang w:eastAsia="zh-CN"/>
              </w:rPr>
              <w:t>Modalities of interaction between the consultant and EDA will include: exchange of emails, telephone calls, videoconferencing, face-to-face meetings, including focus groups and coaching and training sessions at the EDA premises.</w:t>
            </w:r>
          </w:p>
        </w:tc>
      </w:tr>
      <w:tr w:rsidR="00414189" w:rsidRPr="00D30734" w14:paraId="33BABCEF" w14:textId="77777777" w:rsidTr="005F51C4">
        <w:tc>
          <w:tcPr>
            <w:tcW w:w="2132" w:type="dxa"/>
          </w:tcPr>
          <w:p w14:paraId="3E30ACCD" w14:textId="00FC9479" w:rsidR="00414189" w:rsidRPr="00C12328" w:rsidRDefault="00414189" w:rsidP="004C017B">
            <w:pPr>
              <w:tabs>
                <w:tab w:val="left" w:pos="5711"/>
              </w:tabs>
              <w:rPr>
                <w:rFonts w:asciiTheme="minorHAnsi" w:hAnsiTheme="minorHAnsi" w:cstheme="minorHAnsi"/>
                <w:b/>
                <w:bCs/>
                <w:snapToGrid/>
                <w:szCs w:val="24"/>
                <w:lang w:eastAsia="zh-CN"/>
              </w:rPr>
            </w:pPr>
            <w:r w:rsidRPr="00C12328">
              <w:rPr>
                <w:rFonts w:asciiTheme="minorHAnsi" w:hAnsiTheme="minorHAnsi" w:cstheme="minorHAnsi"/>
                <w:b/>
                <w:bCs/>
                <w:snapToGrid/>
                <w:szCs w:val="24"/>
                <w:lang w:eastAsia="zh-CN"/>
              </w:rPr>
              <w:lastRenderedPageBreak/>
              <w:t>Participation in the negotiated procedure</w:t>
            </w:r>
          </w:p>
        </w:tc>
        <w:tc>
          <w:tcPr>
            <w:tcW w:w="7502" w:type="dxa"/>
          </w:tcPr>
          <w:p w14:paraId="6C620624" w14:textId="589C06A6"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w:t>
            </w:r>
          </w:p>
          <w:p w14:paraId="079292D6" w14:textId="77777777"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3EFEE55" w14:textId="77777777" w:rsidR="00D26C1F" w:rsidRPr="00D30734" w:rsidRDefault="00D26C1F" w:rsidP="00D26C1F">
            <w:pPr>
              <w:tabs>
                <w:tab w:val="left" w:pos="5711"/>
              </w:tabs>
              <w:spacing w:after="0"/>
              <w:rPr>
                <w:rFonts w:asciiTheme="minorHAnsi" w:hAnsiTheme="minorHAnsi" w:cstheme="minorHAnsi"/>
                <w:snapToGrid/>
                <w:szCs w:val="24"/>
                <w:lang w:eastAsia="zh-CN"/>
              </w:rPr>
            </w:pPr>
          </w:p>
          <w:p w14:paraId="1C678EE3" w14:textId="77777777" w:rsidR="00414189"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p w14:paraId="21CD764E" w14:textId="607844AC" w:rsidR="00E07B2C" w:rsidRDefault="00E07B2C" w:rsidP="00D26C1F">
            <w:pPr>
              <w:tabs>
                <w:tab w:val="left" w:pos="5711"/>
              </w:tabs>
              <w:spacing w:after="0"/>
              <w:rPr>
                <w:rFonts w:asciiTheme="minorHAnsi" w:eastAsia="SimSun" w:hAnsiTheme="minorHAnsi" w:cstheme="minorHAnsi"/>
                <w:snapToGrid/>
                <w:szCs w:val="24"/>
                <w:lang w:eastAsia="zh-CN"/>
              </w:rPr>
            </w:pPr>
          </w:p>
          <w:p w14:paraId="78D34233" w14:textId="77777777" w:rsidR="008C3785" w:rsidRPr="008C3785" w:rsidRDefault="008C3785" w:rsidP="008C3785">
            <w:pPr>
              <w:tabs>
                <w:tab w:val="left" w:pos="5711"/>
              </w:tabs>
              <w:spacing w:after="0"/>
              <w:rPr>
                <w:rFonts w:asciiTheme="minorHAnsi" w:hAnsiTheme="minorHAnsi" w:cstheme="minorHAnsi"/>
                <w:snapToGrid/>
                <w:szCs w:val="24"/>
                <w:u w:val="single"/>
                <w:lang w:eastAsia="zh-CN"/>
              </w:rPr>
            </w:pPr>
            <w:r w:rsidRPr="008C3785">
              <w:rPr>
                <w:rFonts w:asciiTheme="minorHAnsi" w:hAnsiTheme="minorHAnsi" w:cstheme="minorHAnsi"/>
                <w:snapToGrid/>
                <w:szCs w:val="24"/>
                <w:u w:val="single"/>
                <w:lang w:eastAsia="zh-CN"/>
              </w:rPr>
              <w:t>Important notice for British tenderers:</w:t>
            </w:r>
          </w:p>
          <w:p w14:paraId="5B9F9DFB" w14:textId="77777777" w:rsidR="008C3785" w:rsidRPr="008C3785" w:rsidRDefault="008C3785" w:rsidP="008C3785">
            <w:pPr>
              <w:tabs>
                <w:tab w:val="left" w:pos="5711"/>
              </w:tabs>
              <w:spacing w:after="0"/>
              <w:rPr>
                <w:rFonts w:asciiTheme="minorHAnsi" w:hAnsiTheme="minorHAnsi" w:cstheme="minorHAnsi"/>
                <w:snapToGrid/>
                <w:szCs w:val="24"/>
                <w:lang w:eastAsia="zh-CN"/>
              </w:rPr>
            </w:pPr>
            <w:r w:rsidRPr="008C3785">
              <w:rPr>
                <w:rFonts w:asciiTheme="minorHAnsi" w:hAnsiTheme="minorHAnsi" w:cstheme="minorHAnsi"/>
                <w:snapToGrid/>
                <w:szCs w:val="24"/>
                <w:lang w:eastAsia="zh-CN"/>
              </w:rPr>
              <w:t>Please be aware that after the UK's withdrawal from the EU, the rules of access to EU procurement procedures of economic operators established in third countries will apply to candidates or tenderers from the UK depending on the outcome of the negotiations. In case such access is not provided by legal provisions in force candidates or tenderers from the UK could be rejected from the procurement procedure.</w:t>
            </w:r>
          </w:p>
          <w:p w14:paraId="00EF566D" w14:textId="77777777" w:rsidR="008C3785" w:rsidRPr="008C3785" w:rsidRDefault="008C3785" w:rsidP="00D26C1F">
            <w:pPr>
              <w:tabs>
                <w:tab w:val="left" w:pos="5711"/>
              </w:tabs>
              <w:spacing w:after="0"/>
              <w:rPr>
                <w:rFonts w:asciiTheme="minorHAnsi" w:hAnsiTheme="minorHAnsi" w:cstheme="minorHAnsi"/>
                <w:snapToGrid/>
                <w:szCs w:val="24"/>
                <w:lang w:eastAsia="zh-CN"/>
              </w:rPr>
            </w:pPr>
          </w:p>
          <w:p w14:paraId="1D17C3AE" w14:textId="4BE16ADD" w:rsidR="00E07B2C" w:rsidRPr="00D30734" w:rsidRDefault="00E07B2C" w:rsidP="00D26C1F">
            <w:pPr>
              <w:tabs>
                <w:tab w:val="left" w:pos="5711"/>
              </w:tabs>
              <w:spacing w:after="0"/>
              <w:rPr>
                <w:rFonts w:asciiTheme="minorHAnsi" w:eastAsia="SimSun" w:hAnsiTheme="minorHAnsi" w:cstheme="minorHAnsi"/>
                <w:snapToGrid/>
                <w:szCs w:val="24"/>
                <w:lang w:eastAsia="zh-CN"/>
              </w:rPr>
            </w:pPr>
          </w:p>
        </w:tc>
      </w:tr>
      <w:tr w:rsidR="00771230" w:rsidRPr="00D30734" w14:paraId="72851A4E" w14:textId="77777777" w:rsidTr="005F51C4">
        <w:tc>
          <w:tcPr>
            <w:tcW w:w="2132" w:type="dxa"/>
          </w:tcPr>
          <w:p w14:paraId="1DEEE4AF" w14:textId="7AED7424" w:rsidR="00771230" w:rsidRPr="00A15DDD" w:rsidRDefault="00771230" w:rsidP="00D26C1F">
            <w:pPr>
              <w:tabs>
                <w:tab w:val="left" w:pos="5711"/>
              </w:tabs>
              <w:spacing w:after="0"/>
              <w:jc w:val="left"/>
              <w:rPr>
                <w:rFonts w:asciiTheme="minorHAnsi" w:hAnsiTheme="minorHAnsi" w:cstheme="minorHAnsi"/>
                <w:b/>
                <w:bCs/>
                <w:snapToGrid/>
                <w:szCs w:val="24"/>
                <w:lang w:eastAsia="zh-CN"/>
              </w:rPr>
            </w:pPr>
            <w:r w:rsidRPr="00A15DDD">
              <w:rPr>
                <w:rFonts w:asciiTheme="minorHAnsi" w:hAnsiTheme="minorHAnsi" w:cstheme="minorHAnsi"/>
                <w:b/>
                <w:bCs/>
                <w:snapToGrid/>
                <w:szCs w:val="24"/>
                <w:lang w:eastAsia="zh-CN"/>
              </w:rPr>
              <w:lastRenderedPageBreak/>
              <w:t>Selection criteria</w:t>
            </w:r>
            <w:r w:rsidR="00D26C1F" w:rsidRPr="00A15DDD">
              <w:rPr>
                <w:rFonts w:asciiTheme="minorHAnsi" w:hAnsiTheme="minorHAnsi" w:cstheme="minorHAnsi"/>
                <w:b/>
                <w:bCs/>
                <w:snapToGrid/>
                <w:szCs w:val="24"/>
                <w:lang w:eastAsia="zh-CN"/>
              </w:rPr>
              <w:t>:</w:t>
            </w:r>
            <w:r w:rsidR="007A1089" w:rsidRPr="00A15DDD">
              <w:rPr>
                <w:rFonts w:asciiTheme="minorHAnsi" w:hAnsiTheme="minorHAnsi" w:cstheme="minorHAnsi"/>
                <w:b/>
                <w:bCs/>
                <w:snapToGrid/>
                <w:szCs w:val="24"/>
                <w:lang w:eastAsia="zh-CN"/>
              </w:rPr>
              <w:t xml:space="preserve"> </w:t>
            </w:r>
            <w:r w:rsidR="00566ACF" w:rsidRPr="00A15DDD">
              <w:rPr>
                <w:rFonts w:asciiTheme="minorHAnsi" w:hAnsiTheme="minorHAnsi" w:cstheme="minorHAnsi"/>
                <w:b/>
                <w:bCs/>
                <w:snapToGrid/>
                <w:szCs w:val="24"/>
                <w:lang w:eastAsia="zh-CN"/>
              </w:rPr>
              <w:t xml:space="preserve">necessary capacity to </w:t>
            </w:r>
            <w:r w:rsidR="00525411" w:rsidRPr="00A15DDD">
              <w:rPr>
                <w:rFonts w:asciiTheme="minorHAnsi" w:hAnsiTheme="minorHAnsi" w:cstheme="minorHAnsi"/>
                <w:b/>
                <w:bCs/>
                <w:snapToGrid/>
                <w:szCs w:val="24"/>
                <w:lang w:eastAsia="zh-CN"/>
              </w:rPr>
              <w:t>implement the contract</w:t>
            </w:r>
          </w:p>
        </w:tc>
        <w:tc>
          <w:tcPr>
            <w:tcW w:w="7502" w:type="dxa"/>
          </w:tcPr>
          <w:p w14:paraId="70C7C877" w14:textId="2CA41833" w:rsidR="00771230" w:rsidRDefault="00771230" w:rsidP="00771230">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Potentially interested </w:t>
            </w:r>
            <w:r w:rsidR="00566ACF" w:rsidRPr="00D30734">
              <w:rPr>
                <w:rFonts w:asciiTheme="minorHAnsi" w:hAnsiTheme="minorHAnsi" w:cstheme="minorHAnsi"/>
                <w:snapToGrid/>
                <w:szCs w:val="24"/>
                <w:lang w:eastAsia="zh-CN"/>
              </w:rPr>
              <w:t>economic operators</w:t>
            </w:r>
            <w:r w:rsidRPr="00D30734">
              <w:rPr>
                <w:rFonts w:asciiTheme="minorHAnsi" w:hAnsiTheme="minorHAnsi" w:cstheme="minorHAnsi"/>
                <w:snapToGrid/>
                <w:szCs w:val="24"/>
                <w:lang w:eastAsia="zh-CN"/>
              </w:rPr>
              <w:t xml:space="preserve"> are hereby informed that the following selection criteria will be assessed in the scope of the </w:t>
            </w:r>
            <w:r w:rsidR="00E900D7" w:rsidRPr="00D30734">
              <w:rPr>
                <w:rFonts w:asciiTheme="minorHAnsi" w:hAnsiTheme="minorHAnsi" w:cstheme="minorHAnsi"/>
                <w:snapToGrid/>
                <w:szCs w:val="24"/>
                <w:lang w:eastAsia="zh-CN"/>
              </w:rPr>
              <w:t>envisaged negotiated procedure</w:t>
            </w:r>
            <w:r w:rsidRPr="00D30734">
              <w:rPr>
                <w:rFonts w:asciiTheme="minorHAnsi" w:hAnsiTheme="minorHAnsi" w:cstheme="minorHAnsi"/>
                <w:snapToGrid/>
                <w:szCs w:val="24"/>
                <w:lang w:eastAsia="zh-CN"/>
              </w:rPr>
              <w:t>:</w:t>
            </w:r>
          </w:p>
          <w:p w14:paraId="05130562" w14:textId="77777777" w:rsidR="00A15DDD" w:rsidRPr="00D30734" w:rsidRDefault="00A15DDD" w:rsidP="00771230">
            <w:pPr>
              <w:tabs>
                <w:tab w:val="left" w:pos="5711"/>
              </w:tabs>
              <w:spacing w:after="0"/>
              <w:rPr>
                <w:rFonts w:asciiTheme="minorHAnsi" w:hAnsiTheme="minorHAnsi" w:cstheme="minorHAnsi"/>
                <w:snapToGrid/>
                <w:szCs w:val="24"/>
                <w:lang w:eastAsia="zh-CN"/>
              </w:rPr>
            </w:pPr>
          </w:p>
          <w:p w14:paraId="13E09733" w14:textId="45C228D7" w:rsidR="00664AA0" w:rsidRDefault="00C021E3" w:rsidP="00C021E3">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Economic and financial criteria</w:t>
            </w:r>
          </w:p>
          <w:p w14:paraId="44A58856" w14:textId="77777777" w:rsidR="00A15DDD" w:rsidRPr="00D30734" w:rsidRDefault="00A15DDD" w:rsidP="00C021E3">
            <w:pPr>
              <w:tabs>
                <w:tab w:val="left" w:pos="5711"/>
              </w:tabs>
              <w:spacing w:after="0"/>
              <w:jc w:val="center"/>
              <w:rPr>
                <w:rFonts w:asciiTheme="minorHAnsi" w:hAnsiTheme="minorHAnsi" w:cstheme="minorHAnsi"/>
                <w:b/>
                <w:snapToGrid/>
                <w:szCs w:val="24"/>
                <w:lang w:eastAsia="zh-CN"/>
              </w:rPr>
            </w:pPr>
          </w:p>
          <w:tbl>
            <w:tblPr>
              <w:tblStyle w:val="TableGrid"/>
              <w:tblW w:w="0" w:type="auto"/>
              <w:tblLook w:val="04A0" w:firstRow="1" w:lastRow="0" w:firstColumn="1" w:lastColumn="0" w:noHBand="0" w:noVBand="1"/>
            </w:tblPr>
            <w:tblGrid>
              <w:gridCol w:w="2348"/>
              <w:gridCol w:w="2442"/>
              <w:gridCol w:w="2319"/>
            </w:tblGrid>
            <w:tr w:rsidR="00C021E3" w:rsidRPr="00D30734" w14:paraId="1903A3D7" w14:textId="77777777" w:rsidTr="00F70164">
              <w:trPr>
                <w:trHeight w:val="441"/>
              </w:trPr>
              <w:tc>
                <w:tcPr>
                  <w:tcW w:w="2348" w:type="dxa"/>
                </w:tcPr>
                <w:p w14:paraId="7EBB74A8"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787751FB"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1490FB41"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C021E3" w:rsidRPr="00D30734" w14:paraId="037D52EE" w14:textId="77777777" w:rsidTr="00F70164">
              <w:tc>
                <w:tcPr>
                  <w:tcW w:w="2348" w:type="dxa"/>
                </w:tcPr>
                <w:p w14:paraId="3BB11D90" w14:textId="63528F2C" w:rsidR="00C021E3" w:rsidRPr="00D30734" w:rsidRDefault="00E07B2C" w:rsidP="00257EBE">
                  <w:pPr>
                    <w:tabs>
                      <w:tab w:val="left" w:pos="5711"/>
                    </w:tabs>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Economic and Financial capacity</w:t>
                  </w:r>
                  <w:r w:rsidR="004044AA">
                    <w:rPr>
                      <w:rFonts w:asciiTheme="minorHAnsi" w:hAnsiTheme="minorHAnsi" w:cstheme="minorHAnsi"/>
                      <w:snapToGrid/>
                      <w:sz w:val="22"/>
                      <w:szCs w:val="22"/>
                      <w:lang w:eastAsia="zh-CN"/>
                    </w:rPr>
                    <w:t>.</w:t>
                  </w:r>
                </w:p>
              </w:tc>
              <w:tc>
                <w:tcPr>
                  <w:tcW w:w="2442" w:type="dxa"/>
                </w:tcPr>
                <w:p w14:paraId="56D4729A" w14:textId="6E1F2C60" w:rsidR="00C021E3" w:rsidRDefault="00E07B2C" w:rsidP="00257EBE">
                  <w:pPr>
                    <w:tabs>
                      <w:tab w:val="left" w:pos="5711"/>
                    </w:tabs>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 xml:space="preserve">The tender must have a minimum annual turnover </w:t>
                  </w:r>
                  <w:r w:rsidRPr="00DE326B">
                    <w:rPr>
                      <w:rFonts w:asciiTheme="minorHAnsi" w:hAnsiTheme="minorHAnsi" w:cstheme="minorHAnsi"/>
                      <w:snapToGrid/>
                      <w:sz w:val="22"/>
                      <w:szCs w:val="22"/>
                      <w:lang w:eastAsia="zh-CN"/>
                    </w:rPr>
                    <w:t>of EUR 50 000</w:t>
                  </w:r>
                  <w:r>
                    <w:rPr>
                      <w:rFonts w:asciiTheme="minorHAnsi" w:hAnsiTheme="minorHAnsi" w:cstheme="minorHAnsi"/>
                      <w:snapToGrid/>
                      <w:sz w:val="22"/>
                      <w:szCs w:val="22"/>
                      <w:lang w:eastAsia="zh-CN"/>
                    </w:rPr>
                    <w:t xml:space="preserve"> for each of the last three financial years for which accounts have been closed.</w:t>
                  </w:r>
                </w:p>
                <w:p w14:paraId="14C7E878" w14:textId="1629A610" w:rsidR="00E07B2C" w:rsidRPr="00D30734" w:rsidRDefault="00E07B2C" w:rsidP="00C021E3">
                  <w:pPr>
                    <w:tabs>
                      <w:tab w:val="left" w:pos="5711"/>
                    </w:tabs>
                    <w:jc w:val="left"/>
                    <w:rPr>
                      <w:rFonts w:asciiTheme="minorHAnsi" w:hAnsiTheme="minorHAnsi" w:cstheme="minorHAnsi"/>
                      <w:snapToGrid/>
                      <w:sz w:val="22"/>
                      <w:szCs w:val="22"/>
                      <w:lang w:eastAsia="zh-CN"/>
                    </w:rPr>
                  </w:pPr>
                </w:p>
              </w:tc>
              <w:tc>
                <w:tcPr>
                  <w:tcW w:w="2319" w:type="dxa"/>
                </w:tcPr>
                <w:p w14:paraId="542DFE30" w14:textId="34322D4F" w:rsidR="00C021E3" w:rsidRPr="00D30734" w:rsidRDefault="00E07B2C" w:rsidP="00257EBE">
                  <w:pPr>
                    <w:tabs>
                      <w:tab w:val="left" w:pos="5711"/>
                    </w:tabs>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 xml:space="preserve">The duly completed and signed Financial and Economic Capacity Overview Form </w:t>
                  </w:r>
                  <w:r w:rsidR="0022359C">
                    <w:rPr>
                      <w:rFonts w:asciiTheme="minorHAnsi" w:hAnsiTheme="minorHAnsi" w:cstheme="minorHAnsi"/>
                      <w:snapToGrid/>
                      <w:sz w:val="22"/>
                      <w:szCs w:val="22"/>
                      <w:lang w:eastAsia="zh-CN"/>
                    </w:rPr>
                    <w:t xml:space="preserve">that will be </w:t>
                  </w:r>
                  <w:r>
                    <w:rPr>
                      <w:rFonts w:asciiTheme="minorHAnsi" w:hAnsiTheme="minorHAnsi" w:cstheme="minorHAnsi"/>
                      <w:snapToGrid/>
                      <w:sz w:val="22"/>
                      <w:szCs w:val="22"/>
                      <w:lang w:eastAsia="zh-CN"/>
                    </w:rPr>
                    <w:t>annex</w:t>
                  </w:r>
                  <w:r w:rsidR="0022359C">
                    <w:rPr>
                      <w:rFonts w:asciiTheme="minorHAnsi" w:hAnsiTheme="minorHAnsi" w:cstheme="minorHAnsi"/>
                      <w:snapToGrid/>
                      <w:sz w:val="22"/>
                      <w:szCs w:val="22"/>
                      <w:lang w:eastAsia="zh-CN"/>
                    </w:rPr>
                    <w:t>ed</w:t>
                  </w:r>
                  <w:r>
                    <w:rPr>
                      <w:rFonts w:asciiTheme="minorHAnsi" w:hAnsiTheme="minorHAnsi" w:cstheme="minorHAnsi"/>
                      <w:snapToGrid/>
                      <w:sz w:val="22"/>
                      <w:szCs w:val="22"/>
                      <w:lang w:eastAsia="zh-CN"/>
                    </w:rPr>
                    <w:t xml:space="preserve"> to the tender specifications</w:t>
                  </w:r>
                  <w:r w:rsidR="00257EBE">
                    <w:rPr>
                      <w:rFonts w:asciiTheme="minorHAnsi" w:hAnsiTheme="minorHAnsi" w:cstheme="minorHAnsi"/>
                      <w:snapToGrid/>
                      <w:sz w:val="22"/>
                      <w:szCs w:val="22"/>
                      <w:lang w:eastAsia="zh-CN"/>
                    </w:rPr>
                    <w:t>.</w:t>
                  </w:r>
                </w:p>
              </w:tc>
            </w:tr>
          </w:tbl>
          <w:p w14:paraId="484B2F58" w14:textId="77777777" w:rsidR="00C021E3" w:rsidRPr="00D30734" w:rsidRDefault="00C021E3" w:rsidP="007A1089">
            <w:pPr>
              <w:tabs>
                <w:tab w:val="left" w:pos="5711"/>
              </w:tabs>
              <w:spacing w:after="0"/>
              <w:jc w:val="center"/>
              <w:rPr>
                <w:rFonts w:asciiTheme="minorHAnsi" w:hAnsiTheme="minorHAnsi" w:cstheme="minorHAnsi"/>
                <w:b/>
                <w:snapToGrid/>
                <w:szCs w:val="24"/>
                <w:lang w:eastAsia="zh-CN"/>
              </w:rPr>
            </w:pPr>
          </w:p>
          <w:p w14:paraId="70AED8BB" w14:textId="01810F45" w:rsidR="00771230" w:rsidRPr="00D30734" w:rsidRDefault="00771230" w:rsidP="007A1089">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Technical and professional criteria</w:t>
            </w:r>
          </w:p>
          <w:p w14:paraId="02B54741" w14:textId="77777777" w:rsidR="005F51C4" w:rsidRPr="00D30734" w:rsidRDefault="005F51C4" w:rsidP="00771230">
            <w:pPr>
              <w:tabs>
                <w:tab w:val="left" w:pos="5711"/>
              </w:tabs>
              <w:spacing w:after="0"/>
              <w:rPr>
                <w:rFonts w:asciiTheme="minorHAnsi" w:hAnsiTheme="minorHAnsi" w:cstheme="minorHAnsi"/>
                <w:b/>
                <w:snapToGrid/>
                <w:szCs w:val="24"/>
                <w:lang w:eastAsia="zh-CN"/>
              </w:rPr>
            </w:pPr>
          </w:p>
          <w:tbl>
            <w:tblPr>
              <w:tblStyle w:val="TableGrid"/>
              <w:tblW w:w="0" w:type="auto"/>
              <w:tblLook w:val="04A0" w:firstRow="1" w:lastRow="0" w:firstColumn="1" w:lastColumn="0" w:noHBand="0" w:noVBand="1"/>
            </w:tblPr>
            <w:tblGrid>
              <w:gridCol w:w="2348"/>
              <w:gridCol w:w="2442"/>
              <w:gridCol w:w="2319"/>
            </w:tblGrid>
            <w:tr w:rsidR="008016F1" w:rsidRPr="00D30734" w14:paraId="14886806" w14:textId="77777777" w:rsidTr="00610C1D">
              <w:trPr>
                <w:trHeight w:val="441"/>
              </w:trPr>
              <w:tc>
                <w:tcPr>
                  <w:tcW w:w="2348" w:type="dxa"/>
                </w:tcPr>
                <w:p w14:paraId="43C8A174"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02E6CA11"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6AE2A95E"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664AA0" w:rsidRPr="00D30734" w14:paraId="474B17BF" w14:textId="77777777" w:rsidTr="00664AA0">
              <w:tc>
                <w:tcPr>
                  <w:tcW w:w="2348" w:type="dxa"/>
                </w:tcPr>
                <w:p w14:paraId="500B75BC" w14:textId="714B724F" w:rsidR="00664AA0" w:rsidRPr="00D30734" w:rsidRDefault="00E07B2C" w:rsidP="00464CD0">
                  <w:pPr>
                    <w:tabs>
                      <w:tab w:val="left" w:pos="5711"/>
                    </w:tabs>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 xml:space="preserve">The tenderer shall demonstrate its </w:t>
                  </w:r>
                  <w:r w:rsidR="00464CD0">
                    <w:rPr>
                      <w:rFonts w:asciiTheme="minorHAnsi" w:hAnsiTheme="minorHAnsi" w:cstheme="minorHAnsi"/>
                      <w:snapToGrid/>
                      <w:sz w:val="22"/>
                      <w:szCs w:val="22"/>
                      <w:lang w:eastAsia="zh-CN"/>
                    </w:rPr>
                    <w:t xml:space="preserve">capacity to provide a qualified team with </w:t>
                  </w:r>
                  <w:r>
                    <w:rPr>
                      <w:rFonts w:asciiTheme="minorHAnsi" w:hAnsiTheme="minorHAnsi" w:cstheme="minorHAnsi"/>
                      <w:snapToGrid/>
                      <w:sz w:val="22"/>
                      <w:szCs w:val="22"/>
                      <w:lang w:eastAsia="zh-CN"/>
                    </w:rPr>
                    <w:t xml:space="preserve">experience in </w:t>
                  </w:r>
                  <w:r w:rsidR="00464CD0">
                    <w:rPr>
                      <w:rFonts w:asciiTheme="minorHAnsi" w:hAnsiTheme="minorHAnsi" w:cstheme="minorHAnsi"/>
                      <w:snapToGrid/>
                      <w:sz w:val="22"/>
                      <w:szCs w:val="22"/>
                      <w:lang w:eastAsia="zh-CN"/>
                    </w:rPr>
                    <w:t xml:space="preserve">EU </w:t>
                  </w:r>
                  <w:r>
                    <w:rPr>
                      <w:rFonts w:asciiTheme="minorHAnsi" w:hAnsiTheme="minorHAnsi" w:cstheme="minorHAnsi"/>
                      <w:snapToGrid/>
                      <w:sz w:val="22"/>
                      <w:szCs w:val="22"/>
                      <w:lang w:eastAsia="zh-CN"/>
                    </w:rPr>
                    <w:t xml:space="preserve">VAT </w:t>
                  </w:r>
                  <w:r w:rsidR="00464CD0">
                    <w:rPr>
                      <w:rFonts w:asciiTheme="minorHAnsi" w:hAnsiTheme="minorHAnsi" w:cstheme="minorHAnsi"/>
                      <w:snapToGrid/>
                      <w:sz w:val="22"/>
                      <w:szCs w:val="22"/>
                      <w:lang w:eastAsia="zh-CN"/>
                    </w:rPr>
                    <w:t>law</w:t>
                  </w:r>
                  <w:r w:rsidR="004044AA">
                    <w:rPr>
                      <w:rFonts w:asciiTheme="minorHAnsi" w:hAnsiTheme="minorHAnsi" w:cstheme="minorHAnsi"/>
                      <w:snapToGrid/>
                      <w:sz w:val="22"/>
                      <w:szCs w:val="22"/>
                      <w:lang w:eastAsia="zh-CN"/>
                    </w:rPr>
                    <w:t>.</w:t>
                  </w:r>
                </w:p>
              </w:tc>
              <w:tc>
                <w:tcPr>
                  <w:tcW w:w="2442" w:type="dxa"/>
                </w:tcPr>
                <w:p w14:paraId="780F9278" w14:textId="2A44AA17" w:rsidR="00664AA0" w:rsidRDefault="00464CD0" w:rsidP="000521A3">
                  <w:pPr>
                    <w:tabs>
                      <w:tab w:val="left" w:pos="5711"/>
                    </w:tabs>
                    <w:spacing w:after="0"/>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At least one</w:t>
                  </w:r>
                  <w:r w:rsidR="00DD4538">
                    <w:rPr>
                      <w:rFonts w:asciiTheme="minorHAnsi" w:hAnsiTheme="minorHAnsi" w:cstheme="minorHAnsi"/>
                      <w:snapToGrid/>
                      <w:sz w:val="22"/>
                      <w:szCs w:val="22"/>
                      <w:lang w:eastAsia="zh-CN"/>
                    </w:rPr>
                    <w:t xml:space="preserve"> </w:t>
                  </w:r>
                  <w:r>
                    <w:rPr>
                      <w:rFonts w:asciiTheme="minorHAnsi" w:hAnsiTheme="minorHAnsi" w:cstheme="minorHAnsi"/>
                      <w:snapToGrid/>
                      <w:sz w:val="22"/>
                      <w:szCs w:val="22"/>
                      <w:lang w:eastAsia="zh-CN"/>
                    </w:rPr>
                    <w:t>senior lawyer</w:t>
                  </w:r>
                  <w:r w:rsidR="00332CDD">
                    <w:rPr>
                      <w:rFonts w:asciiTheme="minorHAnsi" w:hAnsiTheme="minorHAnsi" w:cstheme="minorHAnsi"/>
                      <w:snapToGrid/>
                      <w:sz w:val="22"/>
                      <w:szCs w:val="22"/>
                      <w:lang w:eastAsia="zh-CN"/>
                    </w:rPr>
                    <w:t>/tax adviser</w:t>
                  </w:r>
                  <w:r>
                    <w:rPr>
                      <w:rFonts w:asciiTheme="minorHAnsi" w:hAnsiTheme="minorHAnsi" w:cstheme="minorHAnsi"/>
                      <w:snapToGrid/>
                      <w:sz w:val="22"/>
                      <w:szCs w:val="22"/>
                      <w:lang w:eastAsia="zh-CN"/>
                    </w:rPr>
                    <w:t xml:space="preserve">, with specialisation in </w:t>
                  </w:r>
                  <w:r w:rsidRPr="00DE326B">
                    <w:rPr>
                      <w:rFonts w:asciiTheme="minorHAnsi" w:hAnsiTheme="minorHAnsi" w:cstheme="minorHAnsi"/>
                      <w:b/>
                      <w:bCs/>
                      <w:snapToGrid/>
                      <w:sz w:val="22"/>
                      <w:szCs w:val="22"/>
                      <w:lang w:eastAsia="zh-CN"/>
                    </w:rPr>
                    <w:t>EU</w:t>
                  </w:r>
                  <w:r>
                    <w:rPr>
                      <w:rFonts w:asciiTheme="minorHAnsi" w:hAnsiTheme="minorHAnsi" w:cstheme="minorHAnsi"/>
                      <w:snapToGrid/>
                      <w:sz w:val="22"/>
                      <w:szCs w:val="22"/>
                      <w:lang w:eastAsia="zh-CN"/>
                    </w:rPr>
                    <w:t xml:space="preserve"> VAT law, to </w:t>
                  </w:r>
                  <w:r w:rsidRPr="00DE326B">
                    <w:rPr>
                      <w:rFonts w:asciiTheme="minorHAnsi" w:hAnsiTheme="minorHAnsi" w:cstheme="minorHAnsi"/>
                      <w:snapToGrid/>
                      <w:sz w:val="22"/>
                      <w:szCs w:val="22"/>
                      <w:lang w:eastAsia="zh-CN"/>
                    </w:rPr>
                    <w:t>deliver tasks, on demand</w:t>
                  </w:r>
                  <w:r w:rsidR="001821B5" w:rsidRPr="00DE326B">
                    <w:rPr>
                      <w:rFonts w:asciiTheme="minorHAnsi" w:hAnsiTheme="minorHAnsi" w:cstheme="minorHAnsi"/>
                      <w:snapToGrid/>
                      <w:sz w:val="22"/>
                      <w:szCs w:val="22"/>
                      <w:lang w:eastAsia="zh-CN"/>
                    </w:rPr>
                    <w:t xml:space="preserve"> (with at least 6</w:t>
                  </w:r>
                  <w:r w:rsidR="00DD4538" w:rsidRPr="00DE326B">
                    <w:rPr>
                      <w:rFonts w:asciiTheme="minorHAnsi" w:hAnsiTheme="minorHAnsi" w:cstheme="minorHAnsi"/>
                      <w:snapToGrid/>
                      <w:sz w:val="22"/>
                      <w:szCs w:val="22"/>
                      <w:lang w:eastAsia="zh-CN"/>
                    </w:rPr>
                    <w:t>/10</w:t>
                  </w:r>
                  <w:r w:rsidR="001821B5" w:rsidRPr="00DE326B">
                    <w:rPr>
                      <w:rFonts w:asciiTheme="minorHAnsi" w:hAnsiTheme="minorHAnsi" w:cstheme="minorHAnsi"/>
                      <w:snapToGrid/>
                      <w:sz w:val="22"/>
                      <w:szCs w:val="22"/>
                      <w:lang w:eastAsia="zh-CN"/>
                    </w:rPr>
                    <w:t xml:space="preserve"> years of post-</w:t>
                  </w:r>
                  <w:r w:rsidR="001821B5" w:rsidRPr="00DE326B">
                    <w:rPr>
                      <w:rFonts w:asciiTheme="minorHAnsi" w:hAnsiTheme="minorHAnsi" w:cstheme="minorHAnsi"/>
                      <w:snapToGrid/>
                      <w:sz w:val="22"/>
                      <w:szCs w:val="22"/>
                      <w:lang w:eastAsia="zh-CN"/>
                    </w:rPr>
                    <w:lastRenderedPageBreak/>
                    <w:t xml:space="preserve">qualification experience in the </w:t>
                  </w:r>
                  <w:r w:rsidR="002F3AC2" w:rsidRPr="00DE326B">
                    <w:rPr>
                      <w:rFonts w:asciiTheme="minorHAnsi" w:hAnsiTheme="minorHAnsi" w:cstheme="minorHAnsi"/>
                      <w:snapToGrid/>
                      <w:sz w:val="22"/>
                      <w:szCs w:val="22"/>
                      <w:lang w:eastAsia="zh-CN"/>
                    </w:rPr>
                    <w:t>field</w:t>
                  </w:r>
                  <w:r w:rsidR="001821B5" w:rsidRPr="00DE326B">
                    <w:rPr>
                      <w:rFonts w:asciiTheme="minorHAnsi" w:hAnsiTheme="minorHAnsi" w:cstheme="minorHAnsi"/>
                      <w:snapToGrid/>
                      <w:sz w:val="22"/>
                      <w:szCs w:val="22"/>
                      <w:lang w:eastAsia="zh-CN"/>
                    </w:rPr>
                    <w:t>)</w:t>
                  </w:r>
                  <w:r w:rsidR="00743E91" w:rsidRPr="00DE326B">
                    <w:rPr>
                      <w:rFonts w:asciiTheme="minorHAnsi" w:hAnsiTheme="minorHAnsi" w:cstheme="minorHAnsi"/>
                      <w:snapToGrid/>
                      <w:sz w:val="22"/>
                      <w:szCs w:val="22"/>
                      <w:lang w:eastAsia="zh-CN"/>
                    </w:rPr>
                    <w:t>.</w:t>
                  </w:r>
                </w:p>
                <w:p w14:paraId="27D6C7A5" w14:textId="77777777" w:rsidR="000521A3" w:rsidRDefault="000521A3" w:rsidP="000521A3">
                  <w:pPr>
                    <w:tabs>
                      <w:tab w:val="left" w:pos="5711"/>
                    </w:tabs>
                    <w:spacing w:after="0"/>
                    <w:rPr>
                      <w:rFonts w:asciiTheme="minorHAnsi" w:hAnsiTheme="minorHAnsi" w:cstheme="minorHAnsi"/>
                      <w:snapToGrid/>
                      <w:sz w:val="22"/>
                      <w:szCs w:val="22"/>
                      <w:lang w:eastAsia="zh-CN"/>
                    </w:rPr>
                  </w:pPr>
                </w:p>
                <w:p w14:paraId="7E13DA0B" w14:textId="47268635" w:rsidR="000521A3" w:rsidRDefault="00743E91" w:rsidP="000521A3">
                  <w:pPr>
                    <w:tabs>
                      <w:tab w:val="left" w:pos="5711"/>
                    </w:tabs>
                    <w:spacing w:after="0"/>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t>At least one</w:t>
                  </w:r>
                  <w:r w:rsidR="000521A3" w:rsidRPr="000521A3">
                    <w:rPr>
                      <w:rFonts w:asciiTheme="minorHAnsi" w:hAnsiTheme="minorHAnsi" w:cstheme="minorHAnsi"/>
                      <w:snapToGrid/>
                      <w:sz w:val="22"/>
                      <w:szCs w:val="22"/>
                      <w:lang w:eastAsia="zh-CN"/>
                    </w:rPr>
                    <w:t xml:space="preserve"> junior </w:t>
                  </w:r>
                  <w:r w:rsidR="000521A3">
                    <w:rPr>
                      <w:rFonts w:asciiTheme="minorHAnsi" w:hAnsiTheme="minorHAnsi" w:cstheme="minorHAnsi"/>
                      <w:snapToGrid/>
                      <w:sz w:val="22"/>
                      <w:szCs w:val="22"/>
                      <w:lang w:eastAsia="zh-CN"/>
                    </w:rPr>
                    <w:t>lawyer/tax adviser</w:t>
                  </w:r>
                  <w:r w:rsidR="000521A3" w:rsidRPr="000521A3">
                    <w:rPr>
                      <w:rFonts w:asciiTheme="minorHAnsi" w:hAnsiTheme="minorHAnsi" w:cstheme="minorHAnsi"/>
                      <w:snapToGrid/>
                      <w:sz w:val="22"/>
                      <w:szCs w:val="22"/>
                      <w:lang w:eastAsia="zh-CN"/>
                    </w:rPr>
                    <w:t xml:space="preserve"> </w:t>
                  </w:r>
                  <w:r w:rsidR="000521A3">
                    <w:rPr>
                      <w:rFonts w:asciiTheme="minorHAnsi" w:hAnsiTheme="minorHAnsi" w:cstheme="minorHAnsi"/>
                      <w:snapToGrid/>
                      <w:sz w:val="22"/>
                      <w:szCs w:val="22"/>
                      <w:lang w:eastAsia="zh-CN"/>
                    </w:rPr>
                    <w:t xml:space="preserve">with specialisation in EU VAT law, to deliver tasks, on </w:t>
                  </w:r>
                  <w:r w:rsidR="000521A3" w:rsidRPr="00DE326B">
                    <w:rPr>
                      <w:rFonts w:asciiTheme="minorHAnsi" w:hAnsiTheme="minorHAnsi" w:cstheme="minorHAnsi"/>
                      <w:snapToGrid/>
                      <w:sz w:val="22"/>
                      <w:szCs w:val="22"/>
                      <w:lang w:eastAsia="zh-CN"/>
                    </w:rPr>
                    <w:t xml:space="preserve">demand (with at least </w:t>
                  </w:r>
                  <w:r w:rsidR="00A2176C" w:rsidRPr="00DE326B">
                    <w:rPr>
                      <w:rFonts w:asciiTheme="minorHAnsi" w:hAnsiTheme="minorHAnsi" w:cstheme="minorHAnsi"/>
                      <w:snapToGrid/>
                      <w:sz w:val="22"/>
                      <w:szCs w:val="22"/>
                      <w:lang w:eastAsia="zh-CN"/>
                    </w:rPr>
                    <w:t>3/5</w:t>
                  </w:r>
                  <w:r w:rsidR="000521A3" w:rsidRPr="00DE326B">
                    <w:rPr>
                      <w:rFonts w:asciiTheme="minorHAnsi" w:hAnsiTheme="minorHAnsi" w:cstheme="minorHAnsi"/>
                      <w:snapToGrid/>
                      <w:sz w:val="22"/>
                      <w:szCs w:val="22"/>
                      <w:lang w:eastAsia="zh-CN"/>
                    </w:rPr>
                    <w:t xml:space="preserve"> years of post-qualification experience in the </w:t>
                  </w:r>
                  <w:r w:rsidR="002F3AC2" w:rsidRPr="00DE326B">
                    <w:rPr>
                      <w:rFonts w:asciiTheme="minorHAnsi" w:hAnsiTheme="minorHAnsi" w:cstheme="minorHAnsi"/>
                      <w:snapToGrid/>
                      <w:sz w:val="22"/>
                      <w:szCs w:val="22"/>
                      <w:lang w:eastAsia="zh-CN"/>
                    </w:rPr>
                    <w:t>field</w:t>
                  </w:r>
                  <w:r w:rsidR="000521A3" w:rsidRPr="00DE326B">
                    <w:rPr>
                      <w:rFonts w:asciiTheme="minorHAnsi" w:hAnsiTheme="minorHAnsi" w:cstheme="minorHAnsi"/>
                      <w:snapToGrid/>
                      <w:sz w:val="22"/>
                      <w:szCs w:val="22"/>
                      <w:lang w:eastAsia="zh-CN"/>
                    </w:rPr>
                    <w:t>).</w:t>
                  </w:r>
                </w:p>
                <w:p w14:paraId="2BEC1C7B" w14:textId="5AA0C16B" w:rsidR="000521A3" w:rsidRPr="00D30734" w:rsidRDefault="000521A3" w:rsidP="001821B5">
                  <w:pPr>
                    <w:tabs>
                      <w:tab w:val="left" w:pos="5711"/>
                    </w:tabs>
                    <w:rPr>
                      <w:rFonts w:asciiTheme="minorHAnsi" w:hAnsiTheme="minorHAnsi" w:cstheme="minorHAnsi"/>
                      <w:snapToGrid/>
                      <w:sz w:val="22"/>
                      <w:szCs w:val="22"/>
                      <w:lang w:eastAsia="zh-CN"/>
                    </w:rPr>
                  </w:pPr>
                </w:p>
              </w:tc>
              <w:tc>
                <w:tcPr>
                  <w:tcW w:w="2319" w:type="dxa"/>
                </w:tcPr>
                <w:p w14:paraId="1C0D5A3A" w14:textId="6BA3A776" w:rsidR="00664AA0" w:rsidRPr="00D30734" w:rsidRDefault="004044AA" w:rsidP="00DD4538">
                  <w:pPr>
                    <w:tabs>
                      <w:tab w:val="left" w:pos="5711"/>
                    </w:tabs>
                    <w:rPr>
                      <w:rFonts w:asciiTheme="minorHAnsi" w:hAnsiTheme="minorHAnsi" w:cstheme="minorHAnsi"/>
                      <w:snapToGrid/>
                      <w:sz w:val="22"/>
                      <w:szCs w:val="22"/>
                      <w:lang w:eastAsia="zh-CN"/>
                    </w:rPr>
                  </w:pPr>
                  <w:r>
                    <w:rPr>
                      <w:rFonts w:asciiTheme="minorHAnsi" w:hAnsiTheme="minorHAnsi" w:cstheme="minorHAnsi"/>
                      <w:snapToGrid/>
                      <w:sz w:val="22"/>
                      <w:szCs w:val="22"/>
                      <w:lang w:eastAsia="zh-CN"/>
                    </w:rPr>
                    <w:lastRenderedPageBreak/>
                    <w:t>At least, t</w:t>
                  </w:r>
                  <w:r w:rsidR="00464CD0">
                    <w:rPr>
                      <w:rFonts w:asciiTheme="minorHAnsi" w:hAnsiTheme="minorHAnsi" w:cstheme="minorHAnsi"/>
                      <w:snapToGrid/>
                      <w:sz w:val="22"/>
                      <w:szCs w:val="22"/>
                      <w:lang w:eastAsia="zh-CN"/>
                    </w:rPr>
                    <w:t>he CV of the senior lawyer</w:t>
                  </w:r>
                  <w:r w:rsidR="00933632">
                    <w:rPr>
                      <w:rFonts w:asciiTheme="minorHAnsi" w:hAnsiTheme="minorHAnsi" w:cstheme="minorHAnsi"/>
                      <w:snapToGrid/>
                      <w:sz w:val="22"/>
                      <w:szCs w:val="22"/>
                      <w:lang w:eastAsia="zh-CN"/>
                    </w:rPr>
                    <w:t>/tax adviser</w:t>
                  </w:r>
                  <w:r w:rsidR="00464CD0">
                    <w:rPr>
                      <w:rFonts w:asciiTheme="minorHAnsi" w:hAnsiTheme="minorHAnsi" w:cstheme="minorHAnsi"/>
                      <w:snapToGrid/>
                      <w:sz w:val="22"/>
                      <w:szCs w:val="22"/>
                      <w:lang w:eastAsia="zh-CN"/>
                    </w:rPr>
                    <w:t xml:space="preserve"> detailing the educational and </w:t>
                  </w:r>
                  <w:r w:rsidR="00464CD0" w:rsidRPr="00DE326B">
                    <w:rPr>
                      <w:rFonts w:asciiTheme="minorHAnsi" w:hAnsiTheme="minorHAnsi" w:cstheme="minorHAnsi"/>
                      <w:snapToGrid/>
                      <w:sz w:val="22"/>
                      <w:szCs w:val="22"/>
                      <w:lang w:eastAsia="zh-CN"/>
                    </w:rPr>
                    <w:t>professional</w:t>
                  </w:r>
                  <w:r w:rsidR="00DD4538" w:rsidRPr="00DE326B">
                    <w:rPr>
                      <w:rFonts w:asciiTheme="minorHAnsi" w:hAnsiTheme="minorHAnsi" w:cstheme="minorHAnsi"/>
                      <w:snapToGrid/>
                      <w:sz w:val="22"/>
                      <w:szCs w:val="22"/>
                      <w:lang w:eastAsia="zh-CN"/>
                    </w:rPr>
                    <w:t xml:space="preserve"> and taking into account the minimum expertise </w:t>
                  </w:r>
                  <w:r w:rsidR="00DD4538" w:rsidRPr="00DE326B">
                    <w:rPr>
                      <w:rFonts w:asciiTheme="minorHAnsi" w:hAnsiTheme="minorHAnsi" w:cstheme="minorHAnsi"/>
                      <w:snapToGrid/>
                      <w:sz w:val="22"/>
                      <w:szCs w:val="22"/>
                      <w:lang w:eastAsia="zh-CN"/>
                    </w:rPr>
                    <w:lastRenderedPageBreak/>
                    <w:t xml:space="preserve">requirements </w:t>
                  </w:r>
                  <w:r w:rsidR="00464CD0" w:rsidRPr="00DE326B">
                    <w:rPr>
                      <w:rFonts w:asciiTheme="minorHAnsi" w:hAnsiTheme="minorHAnsi" w:cstheme="minorHAnsi"/>
                      <w:snapToGrid/>
                      <w:sz w:val="22"/>
                      <w:szCs w:val="22"/>
                      <w:lang w:eastAsia="zh-CN"/>
                    </w:rPr>
                    <w:t>qualifications and experience.</w:t>
                  </w:r>
                </w:p>
              </w:tc>
            </w:tr>
            <w:tr w:rsidR="002F3AC2" w:rsidRPr="00D30734" w14:paraId="2029DD93" w14:textId="77777777" w:rsidTr="00DE326B">
              <w:tc>
                <w:tcPr>
                  <w:tcW w:w="2348" w:type="dxa"/>
                  <w:shd w:val="clear" w:color="auto" w:fill="auto"/>
                </w:tcPr>
                <w:p w14:paraId="7A53A90E" w14:textId="4FA5FF82" w:rsidR="002F3AC2" w:rsidRPr="00DE326B" w:rsidRDefault="006C233C" w:rsidP="007679EA">
                  <w:pPr>
                    <w:tabs>
                      <w:tab w:val="left" w:pos="5711"/>
                    </w:tabs>
                    <w:spacing w:after="0"/>
                    <w:rPr>
                      <w:rFonts w:asciiTheme="minorHAnsi" w:hAnsiTheme="minorHAnsi" w:cstheme="minorHAnsi"/>
                      <w:snapToGrid/>
                      <w:sz w:val="22"/>
                      <w:szCs w:val="22"/>
                      <w:lang w:eastAsia="zh-CN"/>
                    </w:rPr>
                  </w:pPr>
                  <w:r w:rsidRPr="00DE326B">
                    <w:rPr>
                      <w:rFonts w:asciiTheme="minorHAnsi" w:hAnsiTheme="minorHAnsi" w:cstheme="minorHAnsi"/>
                      <w:snapToGrid/>
                      <w:sz w:val="22"/>
                      <w:szCs w:val="22"/>
                      <w:lang w:eastAsia="zh-CN"/>
                    </w:rPr>
                    <w:lastRenderedPageBreak/>
                    <w:t xml:space="preserve">The tenderer shall demonstrate its </w:t>
                  </w:r>
                  <w:r w:rsidR="00CB60F7" w:rsidRPr="00DE326B">
                    <w:rPr>
                      <w:rFonts w:asciiTheme="minorHAnsi" w:hAnsiTheme="minorHAnsi" w:cstheme="minorHAnsi"/>
                      <w:snapToGrid/>
                      <w:sz w:val="22"/>
                      <w:szCs w:val="22"/>
                      <w:lang w:eastAsia="zh-CN"/>
                    </w:rPr>
                    <w:t xml:space="preserve">experience in the </w:t>
                  </w:r>
                  <w:r w:rsidR="00674FCF" w:rsidRPr="00DE326B">
                    <w:rPr>
                      <w:rFonts w:asciiTheme="minorHAnsi" w:hAnsiTheme="minorHAnsi" w:cstheme="minorHAnsi"/>
                      <w:snapToGrid/>
                      <w:sz w:val="22"/>
                      <w:szCs w:val="22"/>
                      <w:lang w:eastAsia="zh-CN"/>
                    </w:rPr>
                    <w:t>field</w:t>
                  </w:r>
                  <w:r w:rsidR="008B2368" w:rsidRPr="00DE326B">
                    <w:rPr>
                      <w:rFonts w:asciiTheme="minorHAnsi" w:hAnsiTheme="minorHAnsi" w:cstheme="minorHAnsi"/>
                      <w:snapToGrid/>
                      <w:sz w:val="22"/>
                      <w:szCs w:val="22"/>
                      <w:lang w:eastAsia="zh-CN"/>
                    </w:rPr>
                    <w:t>.</w:t>
                  </w:r>
                </w:p>
                <w:p w14:paraId="15886474" w14:textId="67DF3DD3" w:rsidR="008B2368" w:rsidRPr="00DE326B" w:rsidRDefault="008B2368" w:rsidP="007679EA">
                  <w:pPr>
                    <w:tabs>
                      <w:tab w:val="left" w:pos="5711"/>
                    </w:tabs>
                    <w:spacing w:after="0"/>
                    <w:rPr>
                      <w:rFonts w:asciiTheme="minorHAnsi" w:hAnsiTheme="minorHAnsi" w:cstheme="minorHAnsi"/>
                      <w:snapToGrid/>
                      <w:sz w:val="22"/>
                      <w:szCs w:val="22"/>
                      <w:lang w:eastAsia="zh-CN"/>
                    </w:rPr>
                  </w:pPr>
                </w:p>
              </w:tc>
              <w:tc>
                <w:tcPr>
                  <w:tcW w:w="2442" w:type="dxa"/>
                  <w:shd w:val="clear" w:color="auto" w:fill="auto"/>
                </w:tcPr>
                <w:p w14:paraId="42E4BEE6" w14:textId="77777777" w:rsidR="00674FCF" w:rsidRPr="00DE326B" w:rsidRDefault="00674FCF" w:rsidP="00674FCF">
                  <w:pPr>
                    <w:tabs>
                      <w:tab w:val="left" w:pos="5711"/>
                    </w:tabs>
                    <w:spacing w:after="0"/>
                    <w:rPr>
                      <w:rFonts w:asciiTheme="minorHAnsi" w:hAnsiTheme="minorHAnsi" w:cstheme="minorHAnsi"/>
                      <w:snapToGrid/>
                      <w:sz w:val="22"/>
                      <w:szCs w:val="22"/>
                      <w:lang w:eastAsia="zh-CN"/>
                    </w:rPr>
                  </w:pPr>
                  <w:r w:rsidRPr="00DE326B">
                    <w:rPr>
                      <w:rFonts w:asciiTheme="minorHAnsi" w:hAnsiTheme="minorHAnsi" w:cstheme="minorHAnsi"/>
                      <w:snapToGrid/>
                      <w:sz w:val="22"/>
                      <w:szCs w:val="22"/>
                      <w:lang w:eastAsia="zh-CN"/>
                    </w:rPr>
                    <w:t>The tenderer shall demonstrate its extensive and demonstrable experience in the provision of legal support in the field of EU VAT law.</w:t>
                  </w:r>
                </w:p>
                <w:p w14:paraId="2C827216" w14:textId="77777777" w:rsidR="002F3AC2" w:rsidRPr="00DE326B" w:rsidRDefault="002F3AC2" w:rsidP="007679EA">
                  <w:pPr>
                    <w:tabs>
                      <w:tab w:val="left" w:pos="5711"/>
                    </w:tabs>
                    <w:spacing w:after="0"/>
                    <w:rPr>
                      <w:rFonts w:asciiTheme="minorHAnsi" w:hAnsiTheme="minorHAnsi" w:cstheme="minorHAnsi"/>
                      <w:snapToGrid/>
                      <w:sz w:val="22"/>
                      <w:szCs w:val="22"/>
                      <w:lang w:eastAsia="zh-CN"/>
                    </w:rPr>
                  </w:pPr>
                </w:p>
              </w:tc>
              <w:tc>
                <w:tcPr>
                  <w:tcW w:w="2319" w:type="dxa"/>
                  <w:shd w:val="clear" w:color="auto" w:fill="auto"/>
                </w:tcPr>
                <w:p w14:paraId="6F7BB044" w14:textId="667F0533" w:rsidR="00DE326B" w:rsidRPr="000137A3" w:rsidRDefault="00CB60F7" w:rsidP="00DE326B">
                  <w:pPr>
                    <w:tabs>
                      <w:tab w:val="left" w:pos="5711"/>
                    </w:tabs>
                    <w:spacing w:after="0"/>
                    <w:rPr>
                      <w:rFonts w:asciiTheme="minorHAnsi" w:hAnsiTheme="minorHAnsi" w:cstheme="minorHAnsi"/>
                      <w:snapToGrid/>
                      <w:sz w:val="22"/>
                      <w:szCs w:val="22"/>
                      <w:lang w:eastAsia="zh-CN"/>
                    </w:rPr>
                  </w:pPr>
                  <w:r w:rsidRPr="00DE326B">
                    <w:rPr>
                      <w:rFonts w:asciiTheme="minorHAnsi" w:hAnsiTheme="minorHAnsi" w:cstheme="minorHAnsi"/>
                      <w:snapToGrid/>
                      <w:sz w:val="22"/>
                      <w:szCs w:val="22"/>
                      <w:lang w:eastAsia="zh-CN"/>
                    </w:rPr>
                    <w:t>A list of at least 4 cases</w:t>
                  </w:r>
                  <w:r w:rsidR="00DE326B">
                    <w:rPr>
                      <w:rFonts w:asciiTheme="minorHAnsi" w:hAnsiTheme="minorHAnsi" w:cstheme="minorHAnsi"/>
                      <w:snapToGrid/>
                      <w:sz w:val="22"/>
                      <w:szCs w:val="22"/>
                      <w:lang w:eastAsia="zh-CN"/>
                    </w:rPr>
                    <w:t xml:space="preserve"> (</w:t>
                  </w:r>
                  <w:r w:rsidR="00DE326B" w:rsidRPr="000137A3">
                    <w:rPr>
                      <w:rFonts w:asciiTheme="minorHAnsi" w:hAnsiTheme="minorHAnsi" w:cstheme="minorHAnsi"/>
                      <w:snapToGrid/>
                      <w:sz w:val="22"/>
                      <w:szCs w:val="22"/>
                      <w:lang w:eastAsia="zh-CN"/>
                    </w:rPr>
                    <w:t>legal support in the field of EU VAT law</w:t>
                  </w:r>
                  <w:r w:rsidR="00DE326B">
                    <w:rPr>
                      <w:rFonts w:asciiTheme="minorHAnsi" w:hAnsiTheme="minorHAnsi" w:cstheme="minorHAnsi"/>
                      <w:snapToGrid/>
                      <w:sz w:val="22"/>
                      <w:szCs w:val="22"/>
                      <w:lang w:eastAsia="zh-CN"/>
                    </w:rPr>
                    <w:t xml:space="preserve">) </w:t>
                  </w:r>
                </w:p>
                <w:p w14:paraId="265384F3" w14:textId="31F771FC" w:rsidR="00CB60F7" w:rsidRPr="00DE326B" w:rsidRDefault="00CB60F7" w:rsidP="007679EA">
                  <w:pPr>
                    <w:tabs>
                      <w:tab w:val="left" w:pos="5711"/>
                    </w:tabs>
                    <w:spacing w:after="0"/>
                    <w:rPr>
                      <w:rFonts w:asciiTheme="minorHAnsi" w:hAnsiTheme="minorHAnsi" w:cstheme="minorHAnsi"/>
                      <w:snapToGrid/>
                      <w:sz w:val="22"/>
                      <w:szCs w:val="22"/>
                      <w:lang w:eastAsia="zh-CN"/>
                    </w:rPr>
                  </w:pPr>
                  <w:r w:rsidRPr="00DE326B">
                    <w:rPr>
                      <w:rFonts w:asciiTheme="minorHAnsi" w:hAnsiTheme="minorHAnsi" w:cstheme="minorHAnsi"/>
                      <w:snapToGrid/>
                      <w:sz w:val="22"/>
                      <w:szCs w:val="22"/>
                      <w:lang w:eastAsia="zh-CN"/>
                    </w:rPr>
                    <w:t xml:space="preserve"> carried out in the past 2 years. </w:t>
                  </w:r>
                </w:p>
                <w:p w14:paraId="235F7575" w14:textId="77777777" w:rsidR="002F3AC2" w:rsidRPr="00674FCF" w:rsidRDefault="002F3AC2" w:rsidP="007679EA">
                  <w:pPr>
                    <w:tabs>
                      <w:tab w:val="left" w:pos="5711"/>
                    </w:tabs>
                    <w:rPr>
                      <w:rFonts w:asciiTheme="minorHAnsi" w:hAnsiTheme="minorHAnsi" w:cstheme="minorHAnsi"/>
                      <w:snapToGrid/>
                      <w:sz w:val="22"/>
                      <w:szCs w:val="22"/>
                      <w:highlight w:val="yellow"/>
                      <w:lang w:eastAsia="zh-CN"/>
                    </w:rPr>
                  </w:pPr>
                </w:p>
              </w:tc>
            </w:tr>
          </w:tbl>
          <w:p w14:paraId="6532FA8A" w14:textId="77777777" w:rsidR="002505B9" w:rsidRPr="00D30734" w:rsidRDefault="002505B9" w:rsidP="00AA669E">
            <w:pPr>
              <w:tabs>
                <w:tab w:val="left" w:pos="5711"/>
              </w:tabs>
              <w:spacing w:after="0"/>
              <w:rPr>
                <w:rFonts w:asciiTheme="minorHAnsi" w:hAnsiTheme="minorHAnsi" w:cstheme="minorHAnsi"/>
                <w:b/>
                <w:snapToGrid/>
                <w:szCs w:val="24"/>
                <w:lang w:eastAsia="zh-CN"/>
              </w:rPr>
            </w:pPr>
          </w:p>
          <w:p w14:paraId="64CF19B5" w14:textId="77777777" w:rsidR="00771230" w:rsidRDefault="00664AA0" w:rsidP="00AA669E">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b/>
                <w:snapToGrid/>
                <w:szCs w:val="24"/>
                <w:lang w:eastAsia="zh-CN"/>
              </w:rPr>
              <w:t xml:space="preserve">NB </w:t>
            </w:r>
            <w:r w:rsidR="00771230" w:rsidRPr="00D30734">
              <w:rPr>
                <w:rFonts w:asciiTheme="minorHAnsi" w:hAnsiTheme="minorHAnsi" w:cstheme="minorHAnsi"/>
                <w:snapToGrid/>
                <w:szCs w:val="24"/>
                <w:lang w:eastAsia="zh-CN"/>
              </w:rPr>
              <w:t xml:space="preserve">Whilst no documents need to be submitted at this stage to prove that the above criteria are met, potentially interested economic operators are </w:t>
            </w:r>
            <w:r w:rsidR="007A217F" w:rsidRPr="00D30734">
              <w:rPr>
                <w:rFonts w:asciiTheme="minorHAnsi" w:hAnsiTheme="minorHAnsi" w:cstheme="minorHAnsi"/>
                <w:snapToGrid/>
                <w:szCs w:val="24"/>
                <w:lang w:eastAsia="zh-CN"/>
              </w:rPr>
              <w:t>strongly advised</w:t>
            </w:r>
            <w:r w:rsidR="00771230" w:rsidRPr="00D30734">
              <w:rPr>
                <w:rFonts w:asciiTheme="minorHAnsi" w:hAnsiTheme="minorHAnsi" w:cstheme="minorHAnsi"/>
                <w:snapToGrid/>
                <w:szCs w:val="24"/>
                <w:lang w:eastAsia="zh-CN"/>
              </w:rPr>
              <w:t xml:space="preserve"> to </w:t>
            </w:r>
            <w:r w:rsidR="007A217F" w:rsidRPr="00D30734">
              <w:rPr>
                <w:rFonts w:asciiTheme="minorHAnsi" w:hAnsiTheme="minorHAnsi" w:cstheme="minorHAnsi"/>
                <w:snapToGrid/>
                <w:szCs w:val="24"/>
                <w:lang w:eastAsia="zh-CN"/>
              </w:rPr>
              <w:t xml:space="preserve">verify that they fully comply </w:t>
            </w:r>
            <w:r w:rsidR="00AA669E" w:rsidRPr="00D30734">
              <w:rPr>
                <w:rFonts w:asciiTheme="minorHAnsi" w:hAnsiTheme="minorHAnsi" w:cstheme="minorHAnsi"/>
                <w:snapToGrid/>
                <w:szCs w:val="24"/>
                <w:lang w:eastAsia="zh-CN"/>
              </w:rPr>
              <w:t xml:space="preserve">with the </w:t>
            </w:r>
            <w:r w:rsidR="00771230" w:rsidRPr="00D30734">
              <w:rPr>
                <w:rFonts w:asciiTheme="minorHAnsi" w:hAnsiTheme="minorHAnsi" w:cstheme="minorHAnsi"/>
                <w:snapToGrid/>
                <w:szCs w:val="24"/>
                <w:lang w:eastAsia="zh-CN"/>
              </w:rPr>
              <w:t>announced criteria.</w:t>
            </w:r>
          </w:p>
          <w:p w14:paraId="5AA47764" w14:textId="78C2D0BF" w:rsidR="004044AA" w:rsidRPr="00D30734" w:rsidRDefault="004044AA" w:rsidP="00AA669E">
            <w:pPr>
              <w:tabs>
                <w:tab w:val="left" w:pos="5711"/>
              </w:tabs>
              <w:spacing w:after="0"/>
              <w:rPr>
                <w:rFonts w:asciiTheme="minorHAnsi" w:hAnsiTheme="minorHAnsi" w:cstheme="minorHAnsi"/>
                <w:b/>
                <w:snapToGrid/>
                <w:szCs w:val="24"/>
                <w:lang w:eastAsia="zh-CN"/>
              </w:rPr>
            </w:pPr>
          </w:p>
        </w:tc>
      </w:tr>
      <w:tr w:rsidR="00771230" w:rsidRPr="00D30734" w14:paraId="534B887E" w14:textId="77777777" w:rsidTr="005F51C4">
        <w:tc>
          <w:tcPr>
            <w:tcW w:w="2132" w:type="dxa"/>
          </w:tcPr>
          <w:p w14:paraId="146922B2" w14:textId="6F499242" w:rsidR="00771230" w:rsidRPr="004044AA" w:rsidRDefault="004C017B" w:rsidP="00414189">
            <w:pPr>
              <w:tabs>
                <w:tab w:val="left" w:pos="5711"/>
              </w:tabs>
              <w:spacing w:after="0"/>
              <w:jc w:val="left"/>
              <w:rPr>
                <w:rFonts w:asciiTheme="minorHAnsi" w:hAnsiTheme="minorHAnsi" w:cstheme="minorHAnsi"/>
                <w:b/>
                <w:bCs/>
                <w:snapToGrid/>
                <w:szCs w:val="24"/>
                <w:lang w:eastAsia="zh-CN"/>
              </w:rPr>
            </w:pPr>
            <w:r w:rsidRPr="004044AA">
              <w:rPr>
                <w:rFonts w:asciiTheme="minorHAnsi" w:hAnsiTheme="minorHAnsi" w:cstheme="minorHAnsi"/>
                <w:b/>
                <w:bCs/>
                <w:snapToGrid/>
                <w:szCs w:val="24"/>
                <w:lang w:eastAsia="zh-CN"/>
              </w:rPr>
              <w:lastRenderedPageBreak/>
              <w:t xml:space="preserve">Indicative </w:t>
            </w:r>
            <w:r w:rsidR="00414189" w:rsidRPr="004044AA">
              <w:rPr>
                <w:rFonts w:asciiTheme="minorHAnsi" w:hAnsiTheme="minorHAnsi" w:cstheme="minorHAnsi"/>
                <w:b/>
                <w:bCs/>
                <w:snapToGrid/>
                <w:szCs w:val="24"/>
                <w:lang w:eastAsia="zh-CN"/>
              </w:rPr>
              <w:t xml:space="preserve">date </w:t>
            </w:r>
            <w:r w:rsidRPr="004044AA">
              <w:rPr>
                <w:rFonts w:asciiTheme="minorHAnsi" w:hAnsiTheme="minorHAnsi" w:cstheme="minorHAnsi"/>
                <w:b/>
                <w:bCs/>
                <w:snapToGrid/>
                <w:szCs w:val="24"/>
                <w:lang w:eastAsia="zh-CN"/>
              </w:rPr>
              <w:t>for launching the negotiated procedure</w:t>
            </w:r>
          </w:p>
        </w:tc>
        <w:tc>
          <w:tcPr>
            <w:tcW w:w="7502" w:type="dxa"/>
          </w:tcPr>
          <w:p w14:paraId="24171062" w14:textId="77777777" w:rsidR="00771230" w:rsidRDefault="00566ACF" w:rsidP="00C021E3">
            <w:pPr>
              <w:tabs>
                <w:tab w:val="left" w:pos="5711"/>
              </w:tabs>
              <w:spacing w:after="0"/>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 xml:space="preserve">Invitation to submit tenders will be electronically sent to economic </w:t>
            </w:r>
            <w:r w:rsidRPr="00DE326B">
              <w:rPr>
                <w:rFonts w:asciiTheme="minorHAnsi" w:hAnsiTheme="minorHAnsi" w:cstheme="minorHAnsi"/>
                <w:snapToGrid/>
                <w:szCs w:val="24"/>
                <w:lang w:eastAsia="zh-CN"/>
              </w:rPr>
              <w:t xml:space="preserve">operators indicatively by </w:t>
            </w:r>
            <w:r w:rsidR="00464CD0" w:rsidRPr="00DE326B">
              <w:rPr>
                <w:rFonts w:asciiTheme="minorHAnsi" w:hAnsiTheme="minorHAnsi" w:cstheme="minorHAnsi"/>
                <w:b/>
                <w:snapToGrid/>
                <w:szCs w:val="24"/>
                <w:lang w:eastAsia="zh-CN"/>
              </w:rPr>
              <w:t>31/01/2020</w:t>
            </w:r>
            <w:r w:rsidR="004044AA" w:rsidRPr="00DE326B">
              <w:rPr>
                <w:rFonts w:asciiTheme="minorHAnsi" w:hAnsiTheme="minorHAnsi" w:cstheme="minorHAnsi"/>
                <w:b/>
                <w:snapToGrid/>
                <w:szCs w:val="24"/>
                <w:lang w:eastAsia="zh-CN"/>
              </w:rPr>
              <w:t>.</w:t>
            </w:r>
          </w:p>
          <w:p w14:paraId="56494244" w14:textId="77777777" w:rsidR="004044AA" w:rsidRDefault="004044AA" w:rsidP="00C021E3">
            <w:pPr>
              <w:tabs>
                <w:tab w:val="left" w:pos="5711"/>
              </w:tabs>
              <w:spacing w:after="0"/>
              <w:rPr>
                <w:rFonts w:asciiTheme="minorHAnsi" w:hAnsiTheme="minorHAnsi" w:cstheme="minorHAnsi"/>
                <w:snapToGrid/>
                <w:szCs w:val="24"/>
                <w:lang w:eastAsia="zh-CN"/>
              </w:rPr>
            </w:pPr>
          </w:p>
          <w:p w14:paraId="7393DF23" w14:textId="77777777" w:rsidR="004044AA" w:rsidRDefault="004044AA" w:rsidP="00C021E3">
            <w:pPr>
              <w:tabs>
                <w:tab w:val="left" w:pos="5711"/>
              </w:tabs>
              <w:spacing w:after="0"/>
              <w:rPr>
                <w:rFonts w:asciiTheme="minorHAnsi" w:hAnsiTheme="minorHAnsi" w:cstheme="minorHAnsi"/>
                <w:snapToGrid/>
                <w:szCs w:val="24"/>
                <w:lang w:eastAsia="zh-CN"/>
              </w:rPr>
            </w:pPr>
          </w:p>
          <w:p w14:paraId="2064BA4B" w14:textId="53801434" w:rsidR="004044AA" w:rsidRPr="00D30734" w:rsidRDefault="004044AA" w:rsidP="00C021E3">
            <w:pPr>
              <w:tabs>
                <w:tab w:val="left" w:pos="5711"/>
              </w:tabs>
              <w:spacing w:after="0"/>
              <w:rPr>
                <w:rFonts w:asciiTheme="minorHAnsi" w:hAnsiTheme="minorHAnsi" w:cstheme="minorHAnsi"/>
                <w:snapToGrid/>
                <w:szCs w:val="24"/>
                <w:lang w:eastAsia="zh-CN"/>
              </w:rPr>
            </w:pPr>
          </w:p>
        </w:tc>
      </w:tr>
      <w:tr w:rsidR="00771230" w:rsidRPr="00D30734" w14:paraId="5D3670D3" w14:textId="77777777" w:rsidTr="005F51C4">
        <w:tc>
          <w:tcPr>
            <w:tcW w:w="2132" w:type="dxa"/>
          </w:tcPr>
          <w:p w14:paraId="13C01AEC" w14:textId="77777777" w:rsidR="00771230" w:rsidRPr="004044AA" w:rsidRDefault="004C017B" w:rsidP="004C017B">
            <w:pPr>
              <w:tabs>
                <w:tab w:val="left" w:pos="5711"/>
              </w:tabs>
              <w:spacing w:after="0"/>
              <w:jc w:val="left"/>
              <w:rPr>
                <w:rFonts w:asciiTheme="minorHAnsi" w:hAnsiTheme="minorHAnsi" w:cstheme="minorHAnsi"/>
                <w:b/>
                <w:bCs/>
                <w:snapToGrid/>
                <w:szCs w:val="24"/>
                <w:lang w:eastAsia="zh-CN"/>
              </w:rPr>
            </w:pPr>
            <w:r w:rsidRPr="004044AA">
              <w:rPr>
                <w:rFonts w:asciiTheme="minorHAnsi" w:hAnsiTheme="minorHAnsi" w:cstheme="minorHAnsi"/>
                <w:b/>
                <w:bCs/>
                <w:snapToGrid/>
                <w:szCs w:val="24"/>
                <w:lang w:eastAsia="zh-CN"/>
              </w:rPr>
              <w:t>Indicative time schedule for signing the contract</w:t>
            </w:r>
          </w:p>
        </w:tc>
        <w:tc>
          <w:tcPr>
            <w:tcW w:w="7502" w:type="dxa"/>
          </w:tcPr>
          <w:p w14:paraId="4BD59EB5" w14:textId="540BC5B6" w:rsidR="00771230" w:rsidRPr="00D30734" w:rsidRDefault="00566ACF" w:rsidP="00C021E3">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The envisaged contract will be signed </w:t>
            </w:r>
            <w:r w:rsidRPr="00DE326B">
              <w:rPr>
                <w:rFonts w:asciiTheme="minorHAnsi" w:hAnsiTheme="minorHAnsi" w:cstheme="minorHAnsi"/>
                <w:snapToGrid/>
                <w:szCs w:val="24"/>
                <w:lang w:eastAsia="zh-CN"/>
              </w:rPr>
              <w:t xml:space="preserve">indicatively by </w:t>
            </w:r>
            <w:r w:rsidR="00464CD0" w:rsidRPr="00DE326B">
              <w:rPr>
                <w:rFonts w:asciiTheme="minorHAnsi" w:hAnsiTheme="minorHAnsi" w:cstheme="minorHAnsi"/>
                <w:b/>
                <w:snapToGrid/>
                <w:szCs w:val="24"/>
                <w:lang w:eastAsia="zh-CN"/>
              </w:rPr>
              <w:t>end of Q1</w:t>
            </w:r>
            <w:r w:rsidR="0022359C" w:rsidRPr="00DE326B">
              <w:rPr>
                <w:rFonts w:asciiTheme="minorHAnsi" w:hAnsiTheme="minorHAnsi" w:cstheme="minorHAnsi"/>
                <w:b/>
                <w:snapToGrid/>
                <w:szCs w:val="24"/>
                <w:lang w:eastAsia="zh-CN"/>
              </w:rPr>
              <w:t xml:space="preserve"> 2020</w:t>
            </w:r>
            <w:r w:rsidR="00464CD0" w:rsidRPr="00DE326B">
              <w:rPr>
                <w:rFonts w:asciiTheme="minorHAnsi" w:hAnsiTheme="minorHAnsi" w:cstheme="minorHAnsi"/>
                <w:b/>
                <w:snapToGrid/>
                <w:szCs w:val="24"/>
                <w:lang w:eastAsia="zh-CN"/>
              </w:rPr>
              <w:t>.</w:t>
            </w:r>
          </w:p>
        </w:tc>
      </w:tr>
    </w:tbl>
    <w:p w14:paraId="07C3F613" w14:textId="6F1864D7" w:rsidR="00771230" w:rsidRDefault="00771230" w:rsidP="00771230">
      <w:pPr>
        <w:tabs>
          <w:tab w:val="left" w:pos="5711"/>
        </w:tabs>
        <w:spacing w:line="360" w:lineRule="auto"/>
        <w:jc w:val="both"/>
        <w:rPr>
          <w:rFonts w:asciiTheme="minorHAnsi" w:hAnsiTheme="minorHAnsi" w:cstheme="minorHAnsi"/>
          <w:snapToGrid/>
          <w:szCs w:val="24"/>
          <w:lang w:eastAsia="zh-CN"/>
        </w:rPr>
      </w:pPr>
    </w:p>
    <w:p w14:paraId="15E1850B" w14:textId="07B9B112" w:rsidR="004044AA" w:rsidRDefault="004044AA" w:rsidP="00771230">
      <w:pPr>
        <w:tabs>
          <w:tab w:val="left" w:pos="5711"/>
        </w:tabs>
        <w:spacing w:line="360" w:lineRule="auto"/>
        <w:jc w:val="both"/>
        <w:rPr>
          <w:rFonts w:asciiTheme="minorHAnsi" w:hAnsiTheme="minorHAnsi" w:cstheme="minorHAnsi"/>
          <w:snapToGrid/>
          <w:szCs w:val="24"/>
          <w:lang w:eastAsia="zh-CN"/>
        </w:rPr>
      </w:pPr>
    </w:p>
    <w:p w14:paraId="79CAAA3F" w14:textId="77777777" w:rsidR="004044AA" w:rsidRPr="00D30734" w:rsidRDefault="004044AA" w:rsidP="00771230">
      <w:pPr>
        <w:tabs>
          <w:tab w:val="left" w:pos="5711"/>
        </w:tabs>
        <w:spacing w:line="360" w:lineRule="auto"/>
        <w:jc w:val="both"/>
        <w:rPr>
          <w:rFonts w:asciiTheme="minorHAnsi" w:hAnsiTheme="minorHAnsi" w:cstheme="minorHAnsi"/>
          <w:snapToGrid/>
          <w:szCs w:val="24"/>
          <w:lang w:eastAsia="zh-CN"/>
        </w:rPr>
      </w:pPr>
    </w:p>
    <w:p w14:paraId="03C3E836" w14:textId="1FF1F386"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If you are </w:t>
      </w:r>
      <w:r w:rsidR="00771230" w:rsidRPr="00D30734">
        <w:rPr>
          <w:rFonts w:asciiTheme="minorHAnsi" w:hAnsiTheme="minorHAnsi" w:cstheme="minorHAnsi"/>
          <w:snapToGrid/>
          <w:szCs w:val="24"/>
          <w:lang w:eastAsia="zh-CN"/>
        </w:rPr>
        <w:t xml:space="preserve">interested in </w:t>
      </w:r>
      <w:r w:rsidR="00414189" w:rsidRPr="00D30734">
        <w:rPr>
          <w:rFonts w:asciiTheme="minorHAnsi" w:hAnsiTheme="minorHAnsi" w:cstheme="minorHAnsi"/>
          <w:snapToGrid/>
          <w:szCs w:val="24"/>
          <w:lang w:eastAsia="zh-CN"/>
        </w:rPr>
        <w:t xml:space="preserve">being invited </w:t>
      </w:r>
      <w:r w:rsidRPr="00D30734">
        <w:rPr>
          <w:rFonts w:asciiTheme="minorHAnsi" w:hAnsiTheme="minorHAnsi" w:cstheme="minorHAnsi"/>
          <w:snapToGrid/>
          <w:szCs w:val="24"/>
          <w:lang w:eastAsia="zh-CN"/>
        </w:rPr>
        <w:t>in</w:t>
      </w:r>
      <w:r w:rsidR="00414189" w:rsidRPr="00D30734">
        <w:rPr>
          <w:rFonts w:asciiTheme="minorHAnsi" w:hAnsiTheme="minorHAnsi" w:cstheme="minorHAnsi"/>
          <w:snapToGrid/>
          <w:szCs w:val="24"/>
          <w:lang w:eastAsia="zh-CN"/>
        </w:rPr>
        <w:t xml:space="preserve"> the above mentioned call for tenders</w:t>
      </w:r>
      <w:r w:rsidRPr="00D30734">
        <w:rPr>
          <w:rFonts w:asciiTheme="minorHAnsi" w:hAnsiTheme="minorHAnsi" w:cstheme="minorHAnsi"/>
          <w:snapToGrid/>
          <w:szCs w:val="24"/>
          <w:lang w:eastAsia="zh-CN"/>
        </w:rPr>
        <w:t>,</w:t>
      </w:r>
      <w:r w:rsidR="00A455EB" w:rsidRPr="00D30734">
        <w:rPr>
          <w:rFonts w:asciiTheme="minorHAnsi" w:hAnsiTheme="minorHAnsi" w:cstheme="minorHAnsi"/>
          <w:snapToGrid/>
          <w:szCs w:val="24"/>
          <w:lang w:eastAsia="zh-CN"/>
        </w:rPr>
        <w:t xml:space="preserve"> </w:t>
      </w:r>
      <w:r w:rsidRPr="00D30734">
        <w:rPr>
          <w:rFonts w:asciiTheme="minorHAnsi" w:hAnsiTheme="minorHAnsi" w:cstheme="minorHAnsi"/>
          <w:snapToGrid/>
          <w:szCs w:val="24"/>
          <w:lang w:eastAsia="zh-CN"/>
        </w:rPr>
        <w:t>please</w:t>
      </w:r>
      <w:r w:rsidR="00A455EB" w:rsidRPr="00D30734">
        <w:rPr>
          <w:rFonts w:asciiTheme="minorHAnsi" w:hAnsiTheme="minorHAnsi" w:cstheme="minorHAnsi"/>
          <w:snapToGrid/>
          <w:szCs w:val="24"/>
          <w:lang w:eastAsia="zh-CN"/>
        </w:rPr>
        <w:t xml:space="preserve"> r</w:t>
      </w:r>
      <w:r w:rsidR="004C017B" w:rsidRPr="00D30734">
        <w:rPr>
          <w:rFonts w:asciiTheme="minorHAnsi" w:hAnsiTheme="minorHAnsi" w:cstheme="minorHAnsi"/>
          <w:snapToGrid/>
          <w:szCs w:val="24"/>
          <w:lang w:eastAsia="zh-CN"/>
        </w:rPr>
        <w:t>eply to this ex</w:t>
      </w:r>
      <w:r w:rsidR="006E6C87" w:rsidRPr="00D30734">
        <w:rPr>
          <w:rFonts w:asciiTheme="minorHAnsi" w:hAnsiTheme="minorHAnsi" w:cstheme="minorHAnsi"/>
          <w:snapToGrid/>
          <w:szCs w:val="24"/>
          <w:lang w:eastAsia="zh-CN"/>
        </w:rPr>
        <w:t>-</w:t>
      </w:r>
      <w:r w:rsidR="004C017B" w:rsidRPr="00D30734">
        <w:rPr>
          <w:rFonts w:asciiTheme="minorHAnsi" w:hAnsiTheme="minorHAnsi" w:cstheme="minorHAnsi"/>
          <w:snapToGrid/>
          <w:szCs w:val="24"/>
          <w:lang w:eastAsia="zh-CN"/>
        </w:rPr>
        <w:t xml:space="preserve">ante </w:t>
      </w:r>
      <w:r w:rsidR="004C017B" w:rsidRPr="00DE326B">
        <w:rPr>
          <w:rFonts w:asciiTheme="minorHAnsi" w:hAnsiTheme="minorHAnsi" w:cstheme="minorHAnsi"/>
          <w:snapToGrid/>
          <w:szCs w:val="24"/>
          <w:lang w:eastAsia="zh-CN"/>
        </w:rPr>
        <w:t>publicity notice by sending via e</w:t>
      </w:r>
      <w:r w:rsidR="00771230" w:rsidRPr="00DE326B">
        <w:rPr>
          <w:rFonts w:asciiTheme="minorHAnsi" w:hAnsiTheme="minorHAnsi" w:cstheme="minorHAnsi"/>
          <w:snapToGrid/>
          <w:szCs w:val="24"/>
          <w:lang w:eastAsia="zh-CN"/>
        </w:rPr>
        <w:t>mail</w:t>
      </w:r>
      <w:r w:rsidR="004C017B" w:rsidRPr="00DE326B">
        <w:rPr>
          <w:rFonts w:asciiTheme="minorHAnsi" w:hAnsiTheme="minorHAnsi" w:cstheme="minorHAnsi"/>
          <w:snapToGrid/>
          <w:szCs w:val="24"/>
          <w:lang w:eastAsia="zh-CN"/>
        </w:rPr>
        <w:t xml:space="preserve"> </w:t>
      </w:r>
      <w:r w:rsidR="00771230" w:rsidRPr="00DE326B">
        <w:rPr>
          <w:rFonts w:asciiTheme="minorHAnsi" w:hAnsiTheme="minorHAnsi" w:cstheme="minorHAnsi"/>
          <w:snapToGrid/>
          <w:szCs w:val="24"/>
          <w:lang w:eastAsia="zh-CN"/>
        </w:rPr>
        <w:t xml:space="preserve">the filled-in </w:t>
      </w:r>
      <w:r w:rsidR="00FD7747" w:rsidRPr="00DE326B">
        <w:rPr>
          <w:rFonts w:asciiTheme="minorHAnsi" w:hAnsiTheme="minorHAnsi" w:cstheme="minorHAnsi"/>
          <w:b/>
          <w:snapToGrid/>
          <w:szCs w:val="24"/>
          <w:lang w:eastAsia="zh-CN"/>
        </w:rPr>
        <w:t>R</w:t>
      </w:r>
      <w:r w:rsidR="00771230" w:rsidRPr="00DE326B">
        <w:rPr>
          <w:rFonts w:asciiTheme="minorHAnsi" w:hAnsiTheme="minorHAnsi" w:cstheme="minorHAnsi"/>
          <w:b/>
          <w:snapToGrid/>
          <w:szCs w:val="24"/>
          <w:lang w:eastAsia="zh-CN"/>
        </w:rPr>
        <w:t xml:space="preserve">eply </w:t>
      </w:r>
      <w:r w:rsidR="00FD7747" w:rsidRPr="00DE326B">
        <w:rPr>
          <w:rFonts w:asciiTheme="minorHAnsi" w:hAnsiTheme="minorHAnsi" w:cstheme="minorHAnsi"/>
          <w:b/>
          <w:snapToGrid/>
          <w:szCs w:val="24"/>
          <w:lang w:eastAsia="zh-CN"/>
        </w:rPr>
        <w:t>F</w:t>
      </w:r>
      <w:r w:rsidR="00771230" w:rsidRPr="00DE326B">
        <w:rPr>
          <w:rFonts w:asciiTheme="minorHAnsi" w:hAnsiTheme="minorHAnsi" w:cstheme="minorHAnsi"/>
          <w:b/>
          <w:snapToGrid/>
          <w:szCs w:val="24"/>
          <w:lang w:eastAsia="zh-CN"/>
        </w:rPr>
        <w:t>orm</w:t>
      </w:r>
      <w:r w:rsidR="00A455EB" w:rsidRPr="00DE326B">
        <w:rPr>
          <w:rFonts w:asciiTheme="minorHAnsi" w:hAnsiTheme="minorHAnsi" w:cstheme="minorHAnsi"/>
          <w:snapToGrid/>
          <w:szCs w:val="24"/>
          <w:lang w:eastAsia="zh-CN"/>
        </w:rPr>
        <w:t>.</w:t>
      </w:r>
      <w:r w:rsidR="00771230" w:rsidRPr="00DE326B">
        <w:rPr>
          <w:rFonts w:asciiTheme="minorHAnsi" w:hAnsiTheme="minorHAnsi" w:cstheme="minorHAnsi"/>
          <w:snapToGrid/>
          <w:szCs w:val="24"/>
          <w:lang w:eastAsia="zh-CN"/>
        </w:rPr>
        <w:t xml:space="preserve"> </w:t>
      </w:r>
      <w:r w:rsidR="00A455EB" w:rsidRPr="00DE326B">
        <w:rPr>
          <w:rFonts w:asciiTheme="minorHAnsi" w:hAnsiTheme="minorHAnsi" w:cstheme="minorHAnsi"/>
          <w:snapToGrid/>
          <w:szCs w:val="24"/>
          <w:lang w:eastAsia="zh-CN"/>
        </w:rPr>
        <w:t>Su</w:t>
      </w:r>
      <w:r w:rsidR="00FD7747" w:rsidRPr="00DE326B">
        <w:rPr>
          <w:rFonts w:asciiTheme="minorHAnsi" w:hAnsiTheme="minorHAnsi" w:cstheme="minorHAnsi"/>
          <w:snapToGrid/>
          <w:szCs w:val="24"/>
          <w:lang w:eastAsia="zh-CN"/>
        </w:rPr>
        <w:t>ch Reply F</w:t>
      </w:r>
      <w:r w:rsidR="00A455EB" w:rsidRPr="00DE326B">
        <w:rPr>
          <w:rFonts w:asciiTheme="minorHAnsi" w:hAnsiTheme="minorHAnsi" w:cstheme="minorHAnsi"/>
          <w:snapToGrid/>
          <w:szCs w:val="24"/>
          <w:lang w:eastAsia="zh-CN"/>
        </w:rPr>
        <w:t xml:space="preserve">orm shall be sent </w:t>
      </w:r>
      <w:r w:rsidR="00FD7747" w:rsidRPr="00DE326B">
        <w:rPr>
          <w:rFonts w:asciiTheme="minorHAnsi" w:hAnsiTheme="minorHAnsi" w:cstheme="minorHAnsi"/>
          <w:snapToGrid/>
          <w:szCs w:val="24"/>
          <w:lang w:eastAsia="zh-CN"/>
        </w:rPr>
        <w:t xml:space="preserve">to </w:t>
      </w:r>
      <w:r w:rsidR="00771230" w:rsidRPr="00DE326B">
        <w:rPr>
          <w:rFonts w:asciiTheme="minorHAnsi" w:hAnsiTheme="minorHAnsi" w:cstheme="minorHAnsi"/>
          <w:snapToGrid/>
          <w:szCs w:val="24"/>
          <w:lang w:eastAsia="zh-CN"/>
        </w:rPr>
        <w:t xml:space="preserve">no later than </w:t>
      </w:r>
      <w:r w:rsidR="00464CD0" w:rsidRPr="00DE326B">
        <w:rPr>
          <w:rFonts w:asciiTheme="minorHAnsi" w:hAnsiTheme="minorHAnsi" w:cstheme="minorHAnsi"/>
          <w:b/>
          <w:snapToGrid/>
          <w:szCs w:val="24"/>
          <w:lang w:eastAsia="zh-CN"/>
        </w:rPr>
        <w:t>21/01/2020</w:t>
      </w:r>
      <w:r w:rsidR="00A455EB" w:rsidRPr="00DE326B">
        <w:rPr>
          <w:rFonts w:asciiTheme="minorHAnsi" w:hAnsiTheme="minorHAnsi" w:cstheme="minorHAnsi"/>
          <w:b/>
          <w:snapToGrid/>
          <w:szCs w:val="24"/>
          <w:lang w:eastAsia="zh-CN"/>
        </w:rPr>
        <w:t xml:space="preserve"> – </w:t>
      </w:r>
      <w:r w:rsidR="0036144C" w:rsidRPr="00DE326B">
        <w:rPr>
          <w:rFonts w:asciiTheme="minorHAnsi" w:hAnsiTheme="minorHAnsi" w:cstheme="minorHAnsi"/>
          <w:b/>
          <w:snapToGrid/>
          <w:szCs w:val="24"/>
          <w:lang w:eastAsia="zh-CN"/>
        </w:rPr>
        <w:t xml:space="preserve">at </w:t>
      </w:r>
      <w:r w:rsidR="00464CD0" w:rsidRPr="00DE326B">
        <w:rPr>
          <w:rFonts w:asciiTheme="minorHAnsi" w:hAnsiTheme="minorHAnsi" w:cstheme="minorHAnsi"/>
          <w:b/>
          <w:snapToGrid/>
          <w:szCs w:val="24"/>
          <w:lang w:eastAsia="zh-CN"/>
        </w:rPr>
        <w:t>17h00</w:t>
      </w:r>
      <w:r w:rsidR="0036144C" w:rsidRPr="00DE326B">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Brussels time)</w:t>
      </w:r>
      <w:r w:rsidR="004C017B" w:rsidRPr="00D30734">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to the following </w:t>
      </w:r>
      <w:r w:rsidR="00FD7747" w:rsidRPr="00D30734">
        <w:rPr>
          <w:rFonts w:asciiTheme="minorHAnsi" w:hAnsiTheme="minorHAnsi" w:cstheme="minorHAnsi"/>
          <w:snapToGrid/>
          <w:szCs w:val="24"/>
          <w:lang w:eastAsia="zh-CN"/>
        </w:rPr>
        <w:t xml:space="preserve">EDA </w:t>
      </w:r>
      <w:r w:rsidR="00771230" w:rsidRPr="00D30734">
        <w:rPr>
          <w:rFonts w:asciiTheme="minorHAnsi" w:hAnsiTheme="minorHAnsi" w:cstheme="minorHAnsi"/>
          <w:snapToGrid/>
          <w:szCs w:val="24"/>
          <w:lang w:eastAsia="zh-CN"/>
        </w:rPr>
        <w:t>functional mail box:</w:t>
      </w:r>
    </w:p>
    <w:p w14:paraId="0DB000AA" w14:textId="77777777" w:rsidR="00434E36" w:rsidRPr="00D30734" w:rsidRDefault="00630360" w:rsidP="002505B9">
      <w:pPr>
        <w:tabs>
          <w:tab w:val="left" w:pos="5711"/>
        </w:tabs>
        <w:spacing w:line="360" w:lineRule="auto"/>
        <w:jc w:val="center"/>
        <w:rPr>
          <w:rStyle w:val="Hyperlink"/>
          <w:rFonts w:asciiTheme="minorHAnsi" w:hAnsiTheme="minorHAnsi" w:cstheme="minorHAnsi"/>
          <w:snapToGrid/>
          <w:szCs w:val="24"/>
          <w:lang w:eastAsia="zh-CN"/>
        </w:rPr>
      </w:pPr>
      <w:r w:rsidRPr="00D30734">
        <w:rPr>
          <w:rStyle w:val="Hyperlink"/>
          <w:rFonts w:asciiTheme="minorHAnsi" w:hAnsiTheme="minorHAnsi" w:cstheme="minorHAnsi"/>
          <w:snapToGrid/>
          <w:szCs w:val="24"/>
          <w:lang w:eastAsia="zh-CN"/>
        </w:rPr>
        <w:t>procurement</w:t>
      </w:r>
      <w:hyperlink r:id="rId13" w:history="1">
        <w:r w:rsidR="004C017B" w:rsidRPr="00D30734">
          <w:rPr>
            <w:rStyle w:val="Hyperlink"/>
            <w:rFonts w:asciiTheme="minorHAnsi" w:hAnsiTheme="minorHAnsi" w:cstheme="minorHAnsi"/>
            <w:snapToGrid/>
            <w:szCs w:val="24"/>
            <w:lang w:eastAsia="zh-CN"/>
          </w:rPr>
          <w:t>@eda.europa.eu</w:t>
        </w:r>
      </w:hyperlink>
    </w:p>
    <w:p w14:paraId="34163135" w14:textId="77777777" w:rsidR="006C4945" w:rsidRPr="00D30734" w:rsidRDefault="006C4945" w:rsidP="002505B9">
      <w:pPr>
        <w:tabs>
          <w:tab w:val="left" w:pos="5711"/>
        </w:tabs>
        <w:spacing w:line="360" w:lineRule="auto"/>
        <w:jc w:val="both"/>
        <w:rPr>
          <w:rFonts w:asciiTheme="minorHAnsi" w:hAnsiTheme="minorHAnsi" w:cstheme="minorHAnsi"/>
          <w:snapToGrid/>
          <w:szCs w:val="24"/>
          <w:lang w:eastAsia="zh-CN"/>
        </w:rPr>
      </w:pPr>
    </w:p>
    <w:p w14:paraId="526A819D" w14:textId="0CEAD3CA"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w:t>
      </w:r>
      <w:r w:rsidR="001F26FA" w:rsidRPr="00D30734">
        <w:rPr>
          <w:rFonts w:asciiTheme="minorHAnsi" w:hAnsiTheme="minorHAnsi" w:cstheme="minorHAnsi"/>
          <w:snapToGrid/>
          <w:szCs w:val="24"/>
          <w:lang w:eastAsia="zh-CN"/>
        </w:rPr>
        <w:t>publicity</w:t>
      </w:r>
      <w:r w:rsidRPr="00D30734">
        <w:rPr>
          <w:rFonts w:asciiTheme="minorHAnsi" w:hAnsiTheme="minorHAnsi" w:cstheme="minorHAnsi"/>
          <w:snapToGrid/>
          <w:szCs w:val="24"/>
          <w:lang w:eastAsia="zh-CN"/>
        </w:rPr>
        <w:t>.</w:t>
      </w:r>
    </w:p>
    <w:p w14:paraId="27CB949F"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75339884" w14:textId="77777777"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Only the candidates invited by the contracting authority to participate in this procurement procedure will be admissible.</w:t>
      </w:r>
    </w:p>
    <w:p w14:paraId="55A83C7B"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02AE934A"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zCs w:val="24"/>
          <w:lang w:val="en"/>
        </w:rPr>
        <w:t>This publicity is in no way binding for the EDA. The EDA's contractual obligation commences only upon signature of the contract with the successful tenderer.</w:t>
      </w:r>
    </w:p>
    <w:p w14:paraId="6ACE55D4"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171F1B16" w14:textId="6F00D1BD" w:rsidR="00C62AAC" w:rsidRPr="00D30734" w:rsidRDefault="00C62AAC" w:rsidP="002505B9">
      <w:pPr>
        <w:tabs>
          <w:tab w:val="left" w:pos="5711"/>
        </w:tabs>
        <w:spacing w:line="360" w:lineRule="auto"/>
        <w:jc w:val="both"/>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Submission of a</w:t>
      </w:r>
      <w:r w:rsidR="004C017B" w:rsidRPr="00D30734">
        <w:rPr>
          <w:rFonts w:asciiTheme="minorHAnsi" w:hAnsiTheme="minorHAnsi" w:cstheme="minorHAnsi"/>
          <w:snapToGrid/>
          <w:szCs w:val="24"/>
          <w:lang w:eastAsia="zh-CN"/>
        </w:rPr>
        <w:t>n expression of interest</w:t>
      </w:r>
      <w:r w:rsidRPr="00D30734">
        <w:rPr>
          <w:rFonts w:asciiTheme="minorHAnsi" w:hAnsiTheme="minorHAnsi" w:cstheme="minorHAnsi"/>
          <w:snapToGrid/>
          <w:szCs w:val="24"/>
          <w:lang w:eastAsia="zh-CN"/>
        </w:rPr>
        <w:t xml:space="preserve"> </w:t>
      </w:r>
      <w:r w:rsidR="00374EFF" w:rsidRPr="00D30734">
        <w:rPr>
          <w:rFonts w:asciiTheme="minorHAnsi" w:hAnsiTheme="minorHAnsi" w:cstheme="minorHAnsi"/>
          <w:snapToGrid/>
          <w:szCs w:val="24"/>
          <w:lang w:eastAsia="zh-CN"/>
        </w:rPr>
        <w:t>implies acceptance of rec</w:t>
      </w:r>
      <w:r w:rsidR="00993595" w:rsidRPr="00D30734">
        <w:rPr>
          <w:rFonts w:asciiTheme="minorHAnsi" w:hAnsiTheme="minorHAnsi" w:cstheme="minorHAnsi"/>
          <w:snapToGrid/>
          <w:szCs w:val="24"/>
          <w:lang w:eastAsia="zh-CN"/>
        </w:rPr>
        <w:t>e</w:t>
      </w:r>
      <w:r w:rsidR="00374EFF" w:rsidRPr="00D30734">
        <w:rPr>
          <w:rFonts w:asciiTheme="minorHAnsi" w:hAnsiTheme="minorHAnsi" w:cstheme="minorHAnsi"/>
          <w:snapToGrid/>
          <w:szCs w:val="24"/>
          <w:lang w:eastAsia="zh-CN"/>
        </w:rPr>
        <w:t xml:space="preserve">iving </w:t>
      </w:r>
      <w:r w:rsidR="001F26FA" w:rsidRPr="00D30734">
        <w:rPr>
          <w:rFonts w:asciiTheme="minorHAnsi" w:hAnsiTheme="minorHAnsi" w:cstheme="minorHAnsi"/>
          <w:snapToGrid/>
          <w:szCs w:val="24"/>
          <w:lang w:eastAsia="zh-CN"/>
        </w:rPr>
        <w:t xml:space="preserve">the invitation to tender </w:t>
      </w:r>
      <w:r w:rsidR="00374EFF" w:rsidRPr="00D30734">
        <w:rPr>
          <w:rFonts w:asciiTheme="minorHAnsi" w:hAnsiTheme="minorHAnsi" w:cstheme="minorHAnsi"/>
          <w:snapToGrid/>
          <w:szCs w:val="24"/>
          <w:lang w:eastAsia="zh-CN"/>
        </w:rPr>
        <w:t xml:space="preserve">by electronic means. </w:t>
      </w:r>
      <w:r w:rsidR="0036144C" w:rsidRPr="00D30734">
        <w:rPr>
          <w:rFonts w:asciiTheme="minorHAnsi" w:hAnsiTheme="minorHAnsi" w:cstheme="minorHAnsi"/>
          <w:b/>
          <w:snapToGrid/>
          <w:szCs w:val="24"/>
          <w:lang w:eastAsia="zh-CN"/>
        </w:rPr>
        <w:t>It is the tenderer’s responsibility to provide a valid e-mail address together with their contact details in the Reply Form and to check their e-mail regularly.</w:t>
      </w:r>
    </w:p>
    <w:p w14:paraId="0B8A4156" w14:textId="77777777" w:rsidR="002E4F71" w:rsidRPr="00D30734" w:rsidRDefault="002E4F71" w:rsidP="002505B9">
      <w:pPr>
        <w:tabs>
          <w:tab w:val="left" w:pos="568"/>
          <w:tab w:val="left" w:pos="5711"/>
        </w:tabs>
        <w:spacing w:line="360" w:lineRule="auto"/>
        <w:rPr>
          <w:rFonts w:asciiTheme="minorHAnsi" w:hAnsiTheme="minorHAnsi" w:cstheme="minorHAnsi"/>
          <w:snapToGrid/>
          <w:szCs w:val="24"/>
          <w:lang w:eastAsia="zh-CN"/>
        </w:rPr>
      </w:pPr>
    </w:p>
    <w:p w14:paraId="19A0AFBE" w14:textId="16F11C31" w:rsidR="007A2E1F" w:rsidRPr="00D30734" w:rsidRDefault="00434E36" w:rsidP="002505B9">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We look f</w:t>
      </w:r>
      <w:r w:rsidR="004C017B" w:rsidRPr="00D30734">
        <w:rPr>
          <w:rFonts w:asciiTheme="minorHAnsi" w:hAnsiTheme="minorHAnsi" w:cstheme="minorHAnsi"/>
          <w:snapToGrid/>
          <w:szCs w:val="24"/>
          <w:lang w:eastAsia="zh-CN"/>
        </w:rPr>
        <w:t>orward to receiving your expression of interest.</w:t>
      </w:r>
    </w:p>
    <w:p w14:paraId="4482DE5F" w14:textId="77777777" w:rsidR="007A2E1F" w:rsidRPr="00D30734" w:rsidRDefault="007A2E1F" w:rsidP="005F51C4">
      <w:pPr>
        <w:tabs>
          <w:tab w:val="left" w:pos="568"/>
          <w:tab w:val="left" w:pos="5711"/>
        </w:tabs>
        <w:rPr>
          <w:rFonts w:asciiTheme="minorHAnsi" w:hAnsiTheme="minorHAnsi" w:cstheme="minorHAnsi"/>
          <w:snapToGrid/>
          <w:szCs w:val="24"/>
          <w:lang w:eastAsia="zh-CN"/>
        </w:rPr>
      </w:pPr>
    </w:p>
    <w:p w14:paraId="47302882" w14:textId="3AD33CBF" w:rsidR="001F26FA" w:rsidRPr="00D30734" w:rsidRDefault="001F26FA" w:rsidP="00843FA1">
      <w:pPr>
        <w:tabs>
          <w:tab w:val="left" w:pos="568"/>
          <w:tab w:val="left" w:pos="5711"/>
        </w:tabs>
        <w:spacing w:line="360" w:lineRule="auto"/>
        <w:rPr>
          <w:rFonts w:asciiTheme="minorHAnsi" w:hAnsiTheme="minorHAnsi" w:cstheme="minorHAnsi"/>
          <w:b/>
          <w:snapToGrid/>
          <w:szCs w:val="24"/>
          <w:lang w:eastAsia="zh-CN"/>
        </w:rPr>
      </w:pPr>
    </w:p>
    <w:p w14:paraId="04FCA21A" w14:textId="77777777" w:rsidR="00935FAB" w:rsidRPr="00D30734" w:rsidRDefault="00843FA1" w:rsidP="00843FA1">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b/>
          <w:snapToGrid/>
          <w:szCs w:val="24"/>
          <w:lang w:eastAsia="zh-CN"/>
        </w:rPr>
        <w:t>Annex</w:t>
      </w:r>
      <w:r w:rsidRPr="00D30734">
        <w:rPr>
          <w:rFonts w:asciiTheme="minorHAnsi" w:hAnsiTheme="minorHAnsi" w:cstheme="minorHAnsi"/>
          <w:snapToGrid/>
          <w:szCs w:val="24"/>
          <w:lang w:eastAsia="zh-CN"/>
        </w:rPr>
        <w:t>: Reply Form (Expression of interest)</w:t>
      </w:r>
    </w:p>
    <w:p w14:paraId="31D6A3C1" w14:textId="2E802381" w:rsidR="00935FAB" w:rsidRPr="00D30734" w:rsidRDefault="00935FAB" w:rsidP="005E5BBA">
      <w:pPr>
        <w:jc w:val="center"/>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br w:type="page"/>
      </w:r>
      <w:r w:rsidRPr="00D30734">
        <w:rPr>
          <w:rFonts w:asciiTheme="minorHAnsi" w:hAnsiTheme="minorHAnsi" w:cstheme="minorHAnsi"/>
          <w:b/>
          <w:snapToGrid/>
          <w:szCs w:val="24"/>
          <w:lang w:eastAsia="zh-CN"/>
        </w:rPr>
        <w:lastRenderedPageBreak/>
        <w:t>REPLY FORM (Expression of interest)</w:t>
      </w:r>
    </w:p>
    <w:p w14:paraId="1254ED12"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return the present page duly filled in to the following e-mail:</w:t>
      </w:r>
    </w:p>
    <w:p w14:paraId="5F1789BA" w14:textId="77777777" w:rsidR="00935FAB" w:rsidRPr="00D30734" w:rsidRDefault="00DE326B" w:rsidP="00935FAB">
      <w:pPr>
        <w:ind w:right="-68"/>
        <w:jc w:val="center"/>
        <w:rPr>
          <w:rFonts w:asciiTheme="minorHAnsi" w:hAnsiTheme="minorHAnsi" w:cstheme="minorHAnsi"/>
          <w:snapToGrid/>
          <w:color w:val="002060"/>
          <w:szCs w:val="24"/>
          <w:u w:val="single"/>
          <w:lang w:eastAsia="zh-CN"/>
        </w:rPr>
      </w:pPr>
      <w:hyperlink r:id="rId14" w:history="1">
        <w:r w:rsidR="00935FAB" w:rsidRPr="00D30734">
          <w:rPr>
            <w:rFonts w:asciiTheme="minorHAnsi" w:hAnsiTheme="minorHAnsi" w:cstheme="minorHAnsi"/>
            <w:snapToGrid/>
            <w:color w:val="002060"/>
            <w:szCs w:val="24"/>
            <w:u w:val="single"/>
            <w:lang w:eastAsia="zh-CN"/>
          </w:rPr>
          <w:t>procurement@eda.europa.eu</w:t>
        </w:r>
      </w:hyperlink>
    </w:p>
    <w:p w14:paraId="250B9BA2" w14:textId="77777777" w:rsidR="00E61308" w:rsidRPr="00D30734" w:rsidRDefault="00E61308" w:rsidP="00935FAB">
      <w:pPr>
        <w:ind w:right="-68"/>
        <w:jc w:val="center"/>
        <w:rPr>
          <w:rFonts w:asciiTheme="minorHAnsi" w:hAnsiTheme="minorHAnsi" w:cstheme="minorHAnsi"/>
          <w:snapToGrid/>
          <w:szCs w:val="24"/>
          <w:lang w:eastAsia="zh-CN"/>
        </w:rPr>
      </w:pPr>
    </w:p>
    <w:p w14:paraId="495E6161"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indicate in the subject line of the e-mail the title and number of the procedure:</w:t>
      </w:r>
    </w:p>
    <w:p w14:paraId="2CF5EABB" w14:textId="2B6F1AAD" w:rsidR="00935FAB" w:rsidRPr="00D30734" w:rsidRDefault="00464CD0" w:rsidP="00935FAB">
      <w:pPr>
        <w:ind w:right="-68"/>
        <w:jc w:val="center"/>
        <w:rPr>
          <w:rFonts w:asciiTheme="minorHAnsi" w:hAnsiTheme="minorHAnsi" w:cstheme="minorHAnsi"/>
          <w:b/>
          <w:snapToGrid/>
          <w:szCs w:val="24"/>
          <w:lang w:eastAsia="zh-CN"/>
        </w:rPr>
      </w:pPr>
      <w:r>
        <w:rPr>
          <w:rFonts w:asciiTheme="minorHAnsi" w:hAnsiTheme="minorHAnsi" w:cstheme="minorHAnsi"/>
          <w:b/>
          <w:bCs/>
          <w:snapToGrid/>
          <w:color w:val="000000" w:themeColor="text1"/>
          <w:szCs w:val="24"/>
          <w:lang w:eastAsia="zh-CN"/>
        </w:rPr>
        <w:t xml:space="preserve">19.CSD.NP3.443 - </w:t>
      </w:r>
      <w:r>
        <w:rPr>
          <w:rFonts w:asciiTheme="minorHAnsi" w:hAnsiTheme="minorHAnsi" w:cstheme="minorHAnsi"/>
          <w:b/>
          <w:snapToGrid/>
          <w:szCs w:val="24"/>
          <w:lang w:eastAsia="zh-CN"/>
        </w:rPr>
        <w:t>Provision of specialised advice on matters concerning VAT exemption</w:t>
      </w:r>
    </w:p>
    <w:p w14:paraId="2FE87BC2" w14:textId="77777777" w:rsidR="005F51C4" w:rsidRPr="00D30734" w:rsidRDefault="005F51C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D30734" w14:paraId="7AD16CBC" w14:textId="77777777" w:rsidTr="00935FAB">
        <w:trPr>
          <w:trHeight w:hRule="exact" w:val="798"/>
          <w:jc w:val="center"/>
        </w:trPr>
        <w:tc>
          <w:tcPr>
            <w:tcW w:w="3629" w:type="dxa"/>
            <w:vAlign w:val="center"/>
          </w:tcPr>
          <w:p w14:paraId="713ADB53"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3927488" w14:textId="77777777" w:rsidTr="00CF0A91">
        <w:trPr>
          <w:trHeight w:hRule="exact" w:val="942"/>
          <w:jc w:val="center"/>
        </w:trPr>
        <w:tc>
          <w:tcPr>
            <w:tcW w:w="3629" w:type="dxa"/>
            <w:vAlign w:val="center"/>
          </w:tcPr>
          <w:p w14:paraId="3E7C2164" w14:textId="364EEB23"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Title, </w:t>
            </w:r>
            <w:r w:rsidR="005F51C4" w:rsidRPr="00D30734">
              <w:rPr>
                <w:rFonts w:asciiTheme="minorHAnsi" w:hAnsiTheme="minorHAnsi" w:cstheme="minorHAnsi"/>
                <w:snapToGrid/>
                <w:szCs w:val="24"/>
                <w:lang w:eastAsia="zh-CN"/>
              </w:rPr>
              <w:t>f</w:t>
            </w:r>
            <w:r w:rsidRPr="00D30734">
              <w:rPr>
                <w:rFonts w:asciiTheme="minorHAnsi" w:hAnsiTheme="minorHAnsi" w:cstheme="minorHAnsi"/>
                <w:snapToGrid/>
                <w:szCs w:val="24"/>
                <w:lang w:eastAsia="zh-CN"/>
              </w:rPr>
              <w:t>irst name and last name of contact person</w:t>
            </w:r>
            <w:r w:rsidR="00CF0A91" w:rsidRPr="00D30734">
              <w:rPr>
                <w:rFonts w:asciiTheme="minorHAnsi" w:hAnsiTheme="minorHAnsi" w:cstheme="minorHAnsi"/>
                <w:snapToGrid/>
                <w:szCs w:val="24"/>
                <w:lang w:eastAsia="zh-CN"/>
              </w:rPr>
              <w:t>, and Function within the Company</w:t>
            </w:r>
          </w:p>
          <w:p w14:paraId="3B19DCD5" w14:textId="77777777" w:rsidR="00935FAB" w:rsidRPr="00D30734"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7919BEBE" w14:textId="77777777" w:rsidTr="00CF0A91">
        <w:trPr>
          <w:trHeight w:hRule="exact" w:val="998"/>
          <w:jc w:val="center"/>
        </w:trPr>
        <w:tc>
          <w:tcPr>
            <w:tcW w:w="3629" w:type="dxa"/>
            <w:vAlign w:val="center"/>
          </w:tcPr>
          <w:p w14:paraId="648D5D98"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Address</w:t>
            </w:r>
            <w:r w:rsidR="00CF0A91" w:rsidRPr="00D30734">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93D6634" w14:textId="77777777" w:rsidTr="00935FAB">
        <w:trPr>
          <w:trHeight w:hRule="exact" w:val="653"/>
          <w:jc w:val="center"/>
        </w:trPr>
        <w:tc>
          <w:tcPr>
            <w:tcW w:w="3629" w:type="dxa"/>
            <w:vAlign w:val="center"/>
          </w:tcPr>
          <w:p w14:paraId="6BB76B5E" w14:textId="77777777"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18107C54" w14:textId="77777777" w:rsidTr="00BC7B4D">
        <w:trPr>
          <w:trHeight w:hRule="exact" w:val="454"/>
          <w:jc w:val="center"/>
        </w:trPr>
        <w:tc>
          <w:tcPr>
            <w:tcW w:w="3629" w:type="dxa"/>
            <w:vAlign w:val="center"/>
          </w:tcPr>
          <w:p w14:paraId="5386B5BA" w14:textId="0F3C9008"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E</w:t>
            </w:r>
            <w:r w:rsidRPr="00D30734">
              <w:rPr>
                <w:rFonts w:asciiTheme="minorHAnsi" w:hAnsiTheme="minorHAnsi" w:cstheme="minorHAnsi"/>
                <w:snapToGrid/>
                <w:szCs w:val="24"/>
                <w:lang w:eastAsia="zh-CN"/>
              </w:rPr>
              <w:noBreakHyphen/>
              <w:t>mail</w:t>
            </w:r>
            <w:r w:rsidR="00CF0A91" w:rsidRPr="00D30734">
              <w:rPr>
                <w:rFonts w:asciiTheme="minorHAnsi" w:hAnsiTheme="minorHAnsi" w:cstheme="minorHAnsi"/>
                <w:snapToGrid/>
                <w:szCs w:val="24"/>
                <w:lang w:eastAsia="zh-CN"/>
              </w:rPr>
              <w:t xml:space="preserve"> of the contact person</w:t>
            </w:r>
            <w:r w:rsidR="00DD3132" w:rsidRPr="00D30734">
              <w:rPr>
                <w:rStyle w:val="FootnoteReference"/>
                <w:rFonts w:asciiTheme="minorHAnsi" w:hAnsiTheme="minorHAnsi" w:cstheme="minorHAnsi"/>
                <w:snapToGrid/>
                <w:szCs w:val="24"/>
                <w:lang w:eastAsia="zh-CN"/>
              </w:rPr>
              <w:footnoteReference w:id="1"/>
            </w:r>
          </w:p>
        </w:tc>
        <w:tc>
          <w:tcPr>
            <w:tcW w:w="6010" w:type="dxa"/>
            <w:vAlign w:val="center"/>
          </w:tcPr>
          <w:p w14:paraId="71F67C6E" w14:textId="77777777" w:rsidR="00935FAB" w:rsidRPr="00D30734" w:rsidRDefault="00935FAB" w:rsidP="00BC7B4D">
            <w:pPr>
              <w:rPr>
                <w:rFonts w:asciiTheme="minorHAnsi" w:hAnsiTheme="minorHAnsi" w:cstheme="minorHAnsi"/>
                <w:snapToGrid/>
                <w:szCs w:val="24"/>
                <w:lang w:eastAsia="zh-CN"/>
              </w:rPr>
            </w:pPr>
          </w:p>
        </w:tc>
      </w:tr>
    </w:tbl>
    <w:p w14:paraId="62E3C2E3" w14:textId="77777777" w:rsidR="00935FAB" w:rsidRPr="00D30734" w:rsidRDefault="00935FAB" w:rsidP="00935FAB">
      <w:pPr>
        <w:rPr>
          <w:rFonts w:asciiTheme="minorHAnsi" w:hAnsiTheme="minorHAnsi" w:cstheme="minorHAnsi"/>
          <w:szCs w:val="24"/>
        </w:rPr>
      </w:pPr>
    </w:p>
    <w:p w14:paraId="668CED70" w14:textId="605F2B0C" w:rsidR="0036144C" w:rsidRPr="00D30734"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Upon reception of your expression of interest, your personal data will be recorded and further processed</w:t>
      </w:r>
      <w:r w:rsidR="0036144C" w:rsidRPr="00D30734">
        <w:rPr>
          <w:rFonts w:asciiTheme="minorHAnsi" w:hAnsiTheme="minorHAnsi" w:cstheme="minorHAnsi"/>
          <w:snapToGrid/>
          <w:szCs w:val="24"/>
          <w:lang w:eastAsia="zh-CN"/>
        </w:rPr>
        <w:t xml:space="preserve"> by</w:t>
      </w:r>
      <w:r w:rsidRPr="00D30734">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 xml:space="preserve">EDA for the sole purpose of drawing up list of interested economic operators that </w:t>
      </w:r>
      <w:r w:rsidR="00100D11" w:rsidRPr="00D30734">
        <w:rPr>
          <w:rFonts w:asciiTheme="minorHAnsi" w:hAnsiTheme="minorHAnsi" w:cstheme="minorHAnsi"/>
          <w:snapToGrid/>
          <w:szCs w:val="24"/>
          <w:lang w:eastAsia="zh-CN"/>
        </w:rPr>
        <w:t>will</w:t>
      </w:r>
      <w:r w:rsidR="0036144C" w:rsidRPr="00D30734">
        <w:rPr>
          <w:rFonts w:asciiTheme="minorHAnsi" w:hAnsiTheme="minorHAnsi" w:cstheme="minorHAnsi"/>
          <w:snapToGrid/>
          <w:szCs w:val="24"/>
          <w:lang w:eastAsia="zh-CN"/>
        </w:rPr>
        <w:t xml:space="preserve"> be invited to take part in the present negotiated procedure. Such data will be processed by EDA in accordance with </w:t>
      </w:r>
      <w:r w:rsidR="00B30509" w:rsidRPr="00D30734">
        <w:rPr>
          <w:rFonts w:asciiTheme="minorHAnsi" w:hAnsiTheme="minorHAnsi" w:cstheme="minorHAnsi"/>
          <w:snapToGrid/>
          <w:szCs w:val="24"/>
          <w:lang w:eastAsia="zh-CN"/>
        </w:rPr>
        <w:t>Regulation (EU) No 2018/1725</w:t>
      </w:r>
      <w:r w:rsidR="00B30509" w:rsidRPr="00D30734">
        <w:rPr>
          <w:rStyle w:val="FootnoteReference"/>
          <w:rFonts w:asciiTheme="minorHAnsi" w:hAnsiTheme="minorHAnsi" w:cstheme="minorHAnsi"/>
          <w:snapToGrid/>
          <w:szCs w:val="24"/>
          <w:lang w:eastAsia="zh-CN"/>
        </w:rPr>
        <w:footnoteReference w:id="2"/>
      </w:r>
      <w:r w:rsidR="00B30509" w:rsidRPr="00D30734">
        <w:rPr>
          <w:rFonts w:asciiTheme="minorHAnsi" w:hAnsiTheme="minorHAnsi" w:cstheme="minorHAnsi"/>
          <w:snapToGrid/>
          <w:szCs w:val="24"/>
          <w:lang w:eastAsia="zh-CN"/>
        </w:rPr>
        <w:t>, pursuant to Article 31 of Council Decision (CSFP) 2015/1835</w:t>
      </w:r>
      <w:r w:rsidR="0036144C" w:rsidRPr="00D30734">
        <w:rPr>
          <w:rFonts w:asciiTheme="minorHAnsi" w:hAnsiTheme="minorHAnsi" w:cstheme="minorHAnsi"/>
          <w:snapToGrid/>
          <w:szCs w:val="24"/>
          <w:lang w:eastAsia="zh-CN"/>
        </w:rPr>
        <w:t xml:space="preserve">.  </w:t>
      </w:r>
    </w:p>
    <w:p w14:paraId="6DA5186C" w14:textId="77777777" w:rsidR="0036144C" w:rsidRPr="00D30734"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D30734" w:rsidRDefault="005E5BBA" w:rsidP="005E5BBA">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D30734" w:rsidRDefault="00DE326B" w:rsidP="005E5BBA">
      <w:pPr>
        <w:tabs>
          <w:tab w:val="left" w:pos="5711"/>
        </w:tabs>
        <w:rPr>
          <w:rFonts w:asciiTheme="minorHAnsi" w:hAnsiTheme="minorHAnsi" w:cstheme="minorHAnsi"/>
          <w:szCs w:val="24"/>
        </w:rPr>
      </w:pPr>
      <w:hyperlink r:id="rId15" w:history="1">
        <w:r w:rsidR="005E5BBA" w:rsidRPr="00D30734">
          <w:rPr>
            <w:rStyle w:val="Hyperlink"/>
            <w:rFonts w:asciiTheme="minorHAnsi" w:hAnsiTheme="minorHAnsi" w:cstheme="minorHAnsi"/>
            <w:snapToGrid/>
            <w:szCs w:val="24"/>
            <w:lang w:eastAsia="zh-CN"/>
          </w:rPr>
          <w:t>http://www.eda.europa.eu/docs/default-source/procurement/privacy-statement.pdf</w:t>
        </w:r>
      </w:hyperlink>
    </w:p>
    <w:sectPr w:rsidR="005E5BBA" w:rsidRPr="00D30734" w:rsidSect="00CA2EC5">
      <w:headerReference w:type="default" r:id="rId16"/>
      <w:footerReference w:type="default" r:id="rId17"/>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843D" w14:textId="77777777" w:rsidR="00DB4753" w:rsidRDefault="00DB4753">
      <w:r>
        <w:separator/>
      </w:r>
    </w:p>
  </w:endnote>
  <w:endnote w:type="continuationSeparator" w:id="0">
    <w:p w14:paraId="5FFE8A16" w14:textId="77777777" w:rsidR="00DB4753" w:rsidRDefault="00DB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9ABF" w14:textId="77777777" w:rsidR="00DB4753" w:rsidRDefault="00DB4753">
      <w:r>
        <w:separator/>
      </w:r>
    </w:p>
  </w:footnote>
  <w:footnote w:type="continuationSeparator" w:id="0">
    <w:p w14:paraId="2BE37EE7" w14:textId="77777777" w:rsidR="00DB4753" w:rsidRDefault="00DB4753">
      <w:r>
        <w:continuationSeparator/>
      </w:r>
    </w:p>
  </w:footnote>
  <w:footnote w:id="1">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2">
    <w:p w14:paraId="70B3EB2D" w14:textId="55B10AD7" w:rsidR="00B30509" w:rsidRDefault="00B30509">
      <w:pPr>
        <w:pStyle w:val="FootnoteText"/>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CB6387"/>
    <w:multiLevelType w:val="hybridMultilevel"/>
    <w:tmpl w:val="E5DCD6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E953AF"/>
    <w:multiLevelType w:val="hybridMultilevel"/>
    <w:tmpl w:val="14125B14"/>
    <w:lvl w:ilvl="0" w:tplc="B13E1828">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547C"/>
    <w:rsid w:val="00015582"/>
    <w:rsid w:val="000171D6"/>
    <w:rsid w:val="0002038F"/>
    <w:rsid w:val="0002056D"/>
    <w:rsid w:val="000210B0"/>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669"/>
    <w:rsid w:val="00047E83"/>
    <w:rsid w:val="000521A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5626"/>
    <w:rsid w:val="000858A7"/>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3965"/>
    <w:rsid w:val="000B4154"/>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BDC"/>
    <w:rsid w:val="000E33C6"/>
    <w:rsid w:val="000E385C"/>
    <w:rsid w:val="000E39EC"/>
    <w:rsid w:val="000E507C"/>
    <w:rsid w:val="000E6F37"/>
    <w:rsid w:val="000E7296"/>
    <w:rsid w:val="000F34CB"/>
    <w:rsid w:val="000F44C1"/>
    <w:rsid w:val="000F46AC"/>
    <w:rsid w:val="000F7337"/>
    <w:rsid w:val="001003C4"/>
    <w:rsid w:val="00100D11"/>
    <w:rsid w:val="00101159"/>
    <w:rsid w:val="0010166B"/>
    <w:rsid w:val="001018FF"/>
    <w:rsid w:val="00101BF7"/>
    <w:rsid w:val="001025DD"/>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55DA"/>
    <w:rsid w:val="00145D6E"/>
    <w:rsid w:val="00150663"/>
    <w:rsid w:val="0015083E"/>
    <w:rsid w:val="001510C7"/>
    <w:rsid w:val="00152C86"/>
    <w:rsid w:val="001537A7"/>
    <w:rsid w:val="00154905"/>
    <w:rsid w:val="00154F9B"/>
    <w:rsid w:val="0015500F"/>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1B5"/>
    <w:rsid w:val="00182588"/>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3F2D"/>
    <w:rsid w:val="0019432A"/>
    <w:rsid w:val="00194374"/>
    <w:rsid w:val="0019596E"/>
    <w:rsid w:val="00196304"/>
    <w:rsid w:val="001A14D5"/>
    <w:rsid w:val="001A158A"/>
    <w:rsid w:val="001A18F9"/>
    <w:rsid w:val="001A1DBF"/>
    <w:rsid w:val="001A2E3F"/>
    <w:rsid w:val="001A3055"/>
    <w:rsid w:val="001A3865"/>
    <w:rsid w:val="001A3929"/>
    <w:rsid w:val="001A5CEE"/>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7BFC"/>
    <w:rsid w:val="001C7DB3"/>
    <w:rsid w:val="001C7EF6"/>
    <w:rsid w:val="001D03A4"/>
    <w:rsid w:val="001D05C5"/>
    <w:rsid w:val="001D0D0A"/>
    <w:rsid w:val="001D10DF"/>
    <w:rsid w:val="001D1727"/>
    <w:rsid w:val="001D1CA9"/>
    <w:rsid w:val="001D1F37"/>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2002FC"/>
    <w:rsid w:val="0020619E"/>
    <w:rsid w:val="00206CBF"/>
    <w:rsid w:val="00207D83"/>
    <w:rsid w:val="00210072"/>
    <w:rsid w:val="0021117E"/>
    <w:rsid w:val="002111AF"/>
    <w:rsid w:val="00212701"/>
    <w:rsid w:val="0021425D"/>
    <w:rsid w:val="00214F47"/>
    <w:rsid w:val="00215C4B"/>
    <w:rsid w:val="00216AE8"/>
    <w:rsid w:val="00216E0A"/>
    <w:rsid w:val="00222044"/>
    <w:rsid w:val="0022359C"/>
    <w:rsid w:val="002255E3"/>
    <w:rsid w:val="00226FCE"/>
    <w:rsid w:val="002275DE"/>
    <w:rsid w:val="002278B0"/>
    <w:rsid w:val="00233096"/>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50E2"/>
    <w:rsid w:val="00257EBE"/>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0EC2"/>
    <w:rsid w:val="00274430"/>
    <w:rsid w:val="0027702E"/>
    <w:rsid w:val="0028029C"/>
    <w:rsid w:val="002813AC"/>
    <w:rsid w:val="002819F7"/>
    <w:rsid w:val="00282A73"/>
    <w:rsid w:val="002830CA"/>
    <w:rsid w:val="002835DA"/>
    <w:rsid w:val="00286D7C"/>
    <w:rsid w:val="002871B4"/>
    <w:rsid w:val="00287BFD"/>
    <w:rsid w:val="002906B4"/>
    <w:rsid w:val="002906F9"/>
    <w:rsid w:val="0029187F"/>
    <w:rsid w:val="002919A1"/>
    <w:rsid w:val="0029200D"/>
    <w:rsid w:val="002933E4"/>
    <w:rsid w:val="00293DEE"/>
    <w:rsid w:val="002953D9"/>
    <w:rsid w:val="002A1A30"/>
    <w:rsid w:val="002A2F88"/>
    <w:rsid w:val="002A7337"/>
    <w:rsid w:val="002A7E03"/>
    <w:rsid w:val="002B1D97"/>
    <w:rsid w:val="002B3136"/>
    <w:rsid w:val="002B6CA6"/>
    <w:rsid w:val="002C0985"/>
    <w:rsid w:val="002C0B6A"/>
    <w:rsid w:val="002C3685"/>
    <w:rsid w:val="002C3E9E"/>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F13A9"/>
    <w:rsid w:val="002F16FF"/>
    <w:rsid w:val="002F3AC2"/>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64BD"/>
    <w:rsid w:val="00317548"/>
    <w:rsid w:val="0031766A"/>
    <w:rsid w:val="00317EBB"/>
    <w:rsid w:val="00321F6B"/>
    <w:rsid w:val="00322FE4"/>
    <w:rsid w:val="003240C9"/>
    <w:rsid w:val="003246C0"/>
    <w:rsid w:val="003254F0"/>
    <w:rsid w:val="003266C2"/>
    <w:rsid w:val="00326DD6"/>
    <w:rsid w:val="00326F1C"/>
    <w:rsid w:val="00326F32"/>
    <w:rsid w:val="003307A3"/>
    <w:rsid w:val="00330CBE"/>
    <w:rsid w:val="00330D8F"/>
    <w:rsid w:val="00330EF1"/>
    <w:rsid w:val="003324EA"/>
    <w:rsid w:val="003327BC"/>
    <w:rsid w:val="00332CDD"/>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6046E"/>
    <w:rsid w:val="0036144C"/>
    <w:rsid w:val="00361B85"/>
    <w:rsid w:val="003624A7"/>
    <w:rsid w:val="0036302E"/>
    <w:rsid w:val="00364064"/>
    <w:rsid w:val="00365754"/>
    <w:rsid w:val="00367034"/>
    <w:rsid w:val="003675F1"/>
    <w:rsid w:val="00370B16"/>
    <w:rsid w:val="00371AF0"/>
    <w:rsid w:val="003720BB"/>
    <w:rsid w:val="003734E5"/>
    <w:rsid w:val="00374EFF"/>
    <w:rsid w:val="003769C1"/>
    <w:rsid w:val="003777EB"/>
    <w:rsid w:val="003807EF"/>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AA"/>
    <w:rsid w:val="004044C4"/>
    <w:rsid w:val="00405996"/>
    <w:rsid w:val="00406921"/>
    <w:rsid w:val="00406A87"/>
    <w:rsid w:val="00407029"/>
    <w:rsid w:val="0041184F"/>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419E6"/>
    <w:rsid w:val="004424D2"/>
    <w:rsid w:val="004427A1"/>
    <w:rsid w:val="004432C1"/>
    <w:rsid w:val="004438BD"/>
    <w:rsid w:val="00443938"/>
    <w:rsid w:val="00443DB4"/>
    <w:rsid w:val="00444B2E"/>
    <w:rsid w:val="004450AA"/>
    <w:rsid w:val="00445783"/>
    <w:rsid w:val="00447C5B"/>
    <w:rsid w:val="00450AF7"/>
    <w:rsid w:val="00450B2D"/>
    <w:rsid w:val="004537B2"/>
    <w:rsid w:val="004538DC"/>
    <w:rsid w:val="00454D02"/>
    <w:rsid w:val="00455A40"/>
    <w:rsid w:val="00456B8D"/>
    <w:rsid w:val="004573E9"/>
    <w:rsid w:val="004616D8"/>
    <w:rsid w:val="0046286F"/>
    <w:rsid w:val="00463136"/>
    <w:rsid w:val="00463620"/>
    <w:rsid w:val="00464CD0"/>
    <w:rsid w:val="0046622F"/>
    <w:rsid w:val="0046798A"/>
    <w:rsid w:val="00471B51"/>
    <w:rsid w:val="00471BAF"/>
    <w:rsid w:val="00472277"/>
    <w:rsid w:val="00473FAF"/>
    <w:rsid w:val="00474259"/>
    <w:rsid w:val="00474DBB"/>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7C36"/>
    <w:rsid w:val="004C017B"/>
    <w:rsid w:val="004C0E7D"/>
    <w:rsid w:val="004C2A66"/>
    <w:rsid w:val="004C32BE"/>
    <w:rsid w:val="004C3EF4"/>
    <w:rsid w:val="004C4376"/>
    <w:rsid w:val="004C609C"/>
    <w:rsid w:val="004C7074"/>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B9E"/>
    <w:rsid w:val="004F7CD1"/>
    <w:rsid w:val="0050145E"/>
    <w:rsid w:val="00501518"/>
    <w:rsid w:val="00501F69"/>
    <w:rsid w:val="0050425F"/>
    <w:rsid w:val="00504478"/>
    <w:rsid w:val="00504A60"/>
    <w:rsid w:val="00504FD5"/>
    <w:rsid w:val="0050651D"/>
    <w:rsid w:val="0050685C"/>
    <w:rsid w:val="00506B84"/>
    <w:rsid w:val="00507757"/>
    <w:rsid w:val="00507C52"/>
    <w:rsid w:val="00510889"/>
    <w:rsid w:val="00510D39"/>
    <w:rsid w:val="00511390"/>
    <w:rsid w:val="005120D1"/>
    <w:rsid w:val="00515992"/>
    <w:rsid w:val="005175B6"/>
    <w:rsid w:val="005179E3"/>
    <w:rsid w:val="00522EFD"/>
    <w:rsid w:val="005240CF"/>
    <w:rsid w:val="00525411"/>
    <w:rsid w:val="00526A8B"/>
    <w:rsid w:val="00526FCC"/>
    <w:rsid w:val="005311F5"/>
    <w:rsid w:val="0053142B"/>
    <w:rsid w:val="005321E0"/>
    <w:rsid w:val="00532D7E"/>
    <w:rsid w:val="0053303A"/>
    <w:rsid w:val="00533806"/>
    <w:rsid w:val="005338E4"/>
    <w:rsid w:val="005344CC"/>
    <w:rsid w:val="00534897"/>
    <w:rsid w:val="00536CA9"/>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7147C"/>
    <w:rsid w:val="00571AFA"/>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1D9"/>
    <w:rsid w:val="005F1899"/>
    <w:rsid w:val="005F1A79"/>
    <w:rsid w:val="005F36EA"/>
    <w:rsid w:val="005F3EEC"/>
    <w:rsid w:val="005F42C7"/>
    <w:rsid w:val="005F51C4"/>
    <w:rsid w:val="005F74BE"/>
    <w:rsid w:val="00600AAF"/>
    <w:rsid w:val="00602D9D"/>
    <w:rsid w:val="006030A9"/>
    <w:rsid w:val="006076E8"/>
    <w:rsid w:val="006105F1"/>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CF"/>
    <w:rsid w:val="00674FFB"/>
    <w:rsid w:val="006766CC"/>
    <w:rsid w:val="006777EB"/>
    <w:rsid w:val="006805AC"/>
    <w:rsid w:val="0068110F"/>
    <w:rsid w:val="0068262A"/>
    <w:rsid w:val="00683000"/>
    <w:rsid w:val="006831ED"/>
    <w:rsid w:val="0068335C"/>
    <w:rsid w:val="00684573"/>
    <w:rsid w:val="00684B3B"/>
    <w:rsid w:val="00685DAB"/>
    <w:rsid w:val="00686353"/>
    <w:rsid w:val="006866C9"/>
    <w:rsid w:val="00686778"/>
    <w:rsid w:val="0068704C"/>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233C"/>
    <w:rsid w:val="006C302A"/>
    <w:rsid w:val="006C3C60"/>
    <w:rsid w:val="006C4945"/>
    <w:rsid w:val="006C63B3"/>
    <w:rsid w:val="006D2049"/>
    <w:rsid w:val="006D3F89"/>
    <w:rsid w:val="006D5032"/>
    <w:rsid w:val="006D78C4"/>
    <w:rsid w:val="006D7E19"/>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20A2"/>
    <w:rsid w:val="0072241D"/>
    <w:rsid w:val="00723A9B"/>
    <w:rsid w:val="0072449F"/>
    <w:rsid w:val="007263AF"/>
    <w:rsid w:val="00726948"/>
    <w:rsid w:val="00730BDA"/>
    <w:rsid w:val="007328A7"/>
    <w:rsid w:val="00735013"/>
    <w:rsid w:val="00735199"/>
    <w:rsid w:val="0073544A"/>
    <w:rsid w:val="00735510"/>
    <w:rsid w:val="00736D5E"/>
    <w:rsid w:val="007427CA"/>
    <w:rsid w:val="0074393F"/>
    <w:rsid w:val="00743E91"/>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679EA"/>
    <w:rsid w:val="007700EC"/>
    <w:rsid w:val="00771230"/>
    <w:rsid w:val="0077189C"/>
    <w:rsid w:val="0077223E"/>
    <w:rsid w:val="00776DDF"/>
    <w:rsid w:val="0077744D"/>
    <w:rsid w:val="00780172"/>
    <w:rsid w:val="00780861"/>
    <w:rsid w:val="00780F82"/>
    <w:rsid w:val="007811C5"/>
    <w:rsid w:val="007816C8"/>
    <w:rsid w:val="00786BD8"/>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D7C"/>
    <w:rsid w:val="007F2962"/>
    <w:rsid w:val="007F307A"/>
    <w:rsid w:val="007F4014"/>
    <w:rsid w:val="007F46EE"/>
    <w:rsid w:val="007F5A77"/>
    <w:rsid w:val="007F699E"/>
    <w:rsid w:val="007F7696"/>
    <w:rsid w:val="008016F1"/>
    <w:rsid w:val="00803215"/>
    <w:rsid w:val="00803E45"/>
    <w:rsid w:val="0080515D"/>
    <w:rsid w:val="00810467"/>
    <w:rsid w:val="00813CDD"/>
    <w:rsid w:val="00813FC5"/>
    <w:rsid w:val="00813FF5"/>
    <w:rsid w:val="008164E1"/>
    <w:rsid w:val="00817875"/>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479"/>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2F03"/>
    <w:rsid w:val="008836E0"/>
    <w:rsid w:val="008860A9"/>
    <w:rsid w:val="00887B37"/>
    <w:rsid w:val="00887F64"/>
    <w:rsid w:val="008905B3"/>
    <w:rsid w:val="008912AA"/>
    <w:rsid w:val="00894BD6"/>
    <w:rsid w:val="00896ECD"/>
    <w:rsid w:val="008A1EC0"/>
    <w:rsid w:val="008A28CB"/>
    <w:rsid w:val="008A2BE7"/>
    <w:rsid w:val="008A2C89"/>
    <w:rsid w:val="008A53B8"/>
    <w:rsid w:val="008A5908"/>
    <w:rsid w:val="008A6954"/>
    <w:rsid w:val="008A6D84"/>
    <w:rsid w:val="008B0321"/>
    <w:rsid w:val="008B1CB8"/>
    <w:rsid w:val="008B2368"/>
    <w:rsid w:val="008B42FD"/>
    <w:rsid w:val="008B69EA"/>
    <w:rsid w:val="008B70B8"/>
    <w:rsid w:val="008C2346"/>
    <w:rsid w:val="008C2944"/>
    <w:rsid w:val="008C31E0"/>
    <w:rsid w:val="008C3785"/>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D682D"/>
    <w:rsid w:val="008E0B46"/>
    <w:rsid w:val="008E1563"/>
    <w:rsid w:val="008E2E50"/>
    <w:rsid w:val="008E3335"/>
    <w:rsid w:val="008E47FC"/>
    <w:rsid w:val="008E6D63"/>
    <w:rsid w:val="008F0C92"/>
    <w:rsid w:val="008F4177"/>
    <w:rsid w:val="008F466B"/>
    <w:rsid w:val="008F4AA2"/>
    <w:rsid w:val="008F65BE"/>
    <w:rsid w:val="008F7397"/>
    <w:rsid w:val="00900B2C"/>
    <w:rsid w:val="00900EA4"/>
    <w:rsid w:val="009023DC"/>
    <w:rsid w:val="009039A4"/>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9D"/>
    <w:rsid w:val="009238D8"/>
    <w:rsid w:val="00923B97"/>
    <w:rsid w:val="0092423F"/>
    <w:rsid w:val="009258A5"/>
    <w:rsid w:val="009277F8"/>
    <w:rsid w:val="00930658"/>
    <w:rsid w:val="00932083"/>
    <w:rsid w:val="00932432"/>
    <w:rsid w:val="0093349B"/>
    <w:rsid w:val="00933632"/>
    <w:rsid w:val="009336C0"/>
    <w:rsid w:val="00933EBB"/>
    <w:rsid w:val="009344DA"/>
    <w:rsid w:val="00935FAB"/>
    <w:rsid w:val="00936B95"/>
    <w:rsid w:val="00937AC8"/>
    <w:rsid w:val="0094061C"/>
    <w:rsid w:val="009422CE"/>
    <w:rsid w:val="00942700"/>
    <w:rsid w:val="00943415"/>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77E3"/>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387"/>
    <w:rsid w:val="009C57F3"/>
    <w:rsid w:val="009C7F67"/>
    <w:rsid w:val="009D1318"/>
    <w:rsid w:val="009D4F44"/>
    <w:rsid w:val="009D5367"/>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5DDD"/>
    <w:rsid w:val="00A16AE2"/>
    <w:rsid w:val="00A16C4D"/>
    <w:rsid w:val="00A179D6"/>
    <w:rsid w:val="00A202D7"/>
    <w:rsid w:val="00A2176C"/>
    <w:rsid w:val="00A222FF"/>
    <w:rsid w:val="00A237D9"/>
    <w:rsid w:val="00A23BCF"/>
    <w:rsid w:val="00A24373"/>
    <w:rsid w:val="00A26B1B"/>
    <w:rsid w:val="00A30400"/>
    <w:rsid w:val="00A317E5"/>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3FE"/>
    <w:rsid w:val="00AB156C"/>
    <w:rsid w:val="00AB3BB9"/>
    <w:rsid w:val="00AB4780"/>
    <w:rsid w:val="00AB5E6E"/>
    <w:rsid w:val="00AB6531"/>
    <w:rsid w:val="00AB69C0"/>
    <w:rsid w:val="00AB7078"/>
    <w:rsid w:val="00AB70BE"/>
    <w:rsid w:val="00AC1447"/>
    <w:rsid w:val="00AC31D9"/>
    <w:rsid w:val="00AC3A6A"/>
    <w:rsid w:val="00AC40D0"/>
    <w:rsid w:val="00AC50F6"/>
    <w:rsid w:val="00AC6611"/>
    <w:rsid w:val="00AC78FF"/>
    <w:rsid w:val="00AD1099"/>
    <w:rsid w:val="00AD1302"/>
    <w:rsid w:val="00AD243B"/>
    <w:rsid w:val="00AD2753"/>
    <w:rsid w:val="00AD3395"/>
    <w:rsid w:val="00AD356B"/>
    <w:rsid w:val="00AD3748"/>
    <w:rsid w:val="00AD623E"/>
    <w:rsid w:val="00AE05B5"/>
    <w:rsid w:val="00AE16F5"/>
    <w:rsid w:val="00AE4AEA"/>
    <w:rsid w:val="00AE6183"/>
    <w:rsid w:val="00AE7E6D"/>
    <w:rsid w:val="00AF0964"/>
    <w:rsid w:val="00AF0B76"/>
    <w:rsid w:val="00AF18F5"/>
    <w:rsid w:val="00AF1D3A"/>
    <w:rsid w:val="00AF29C1"/>
    <w:rsid w:val="00AF2A93"/>
    <w:rsid w:val="00AF321A"/>
    <w:rsid w:val="00AF3C08"/>
    <w:rsid w:val="00AF51DB"/>
    <w:rsid w:val="00AF5952"/>
    <w:rsid w:val="00AF5E61"/>
    <w:rsid w:val="00AF6B14"/>
    <w:rsid w:val="00AF7AF3"/>
    <w:rsid w:val="00B00C2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71B4"/>
    <w:rsid w:val="00B274EB"/>
    <w:rsid w:val="00B27B60"/>
    <w:rsid w:val="00B30509"/>
    <w:rsid w:val="00B3062D"/>
    <w:rsid w:val="00B32C15"/>
    <w:rsid w:val="00B334B9"/>
    <w:rsid w:val="00B3441B"/>
    <w:rsid w:val="00B34429"/>
    <w:rsid w:val="00B356E1"/>
    <w:rsid w:val="00B35E8D"/>
    <w:rsid w:val="00B362D0"/>
    <w:rsid w:val="00B379AE"/>
    <w:rsid w:val="00B37E7E"/>
    <w:rsid w:val="00B40326"/>
    <w:rsid w:val="00B4138F"/>
    <w:rsid w:val="00B42495"/>
    <w:rsid w:val="00B42FB8"/>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0ED3"/>
    <w:rsid w:val="00B7233A"/>
    <w:rsid w:val="00B76140"/>
    <w:rsid w:val="00B77040"/>
    <w:rsid w:val="00B77092"/>
    <w:rsid w:val="00B77485"/>
    <w:rsid w:val="00B77F5D"/>
    <w:rsid w:val="00B8104E"/>
    <w:rsid w:val="00B8217A"/>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B84"/>
    <w:rsid w:val="00BD1EC5"/>
    <w:rsid w:val="00BD2AB9"/>
    <w:rsid w:val="00BD2B35"/>
    <w:rsid w:val="00BD30CC"/>
    <w:rsid w:val="00BD357B"/>
    <w:rsid w:val="00BD691B"/>
    <w:rsid w:val="00BD6A33"/>
    <w:rsid w:val="00BD7624"/>
    <w:rsid w:val="00BE1ADE"/>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4DD2"/>
    <w:rsid w:val="00C10D06"/>
    <w:rsid w:val="00C11778"/>
    <w:rsid w:val="00C11CDD"/>
    <w:rsid w:val="00C12328"/>
    <w:rsid w:val="00C148D9"/>
    <w:rsid w:val="00C154F4"/>
    <w:rsid w:val="00C159B2"/>
    <w:rsid w:val="00C17E72"/>
    <w:rsid w:val="00C20E6E"/>
    <w:rsid w:val="00C21042"/>
    <w:rsid w:val="00C21786"/>
    <w:rsid w:val="00C2207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C0"/>
    <w:rsid w:val="00C436B4"/>
    <w:rsid w:val="00C44F06"/>
    <w:rsid w:val="00C476C6"/>
    <w:rsid w:val="00C53B8C"/>
    <w:rsid w:val="00C56683"/>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16A5"/>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60F7"/>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0734"/>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EC2"/>
    <w:rsid w:val="00D56CC0"/>
    <w:rsid w:val="00D60769"/>
    <w:rsid w:val="00D60FF3"/>
    <w:rsid w:val="00D62590"/>
    <w:rsid w:val="00D637AA"/>
    <w:rsid w:val="00D72852"/>
    <w:rsid w:val="00D73A49"/>
    <w:rsid w:val="00D74E76"/>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4753"/>
    <w:rsid w:val="00DB561D"/>
    <w:rsid w:val="00DB594D"/>
    <w:rsid w:val="00DB5E24"/>
    <w:rsid w:val="00DC14E3"/>
    <w:rsid w:val="00DC1852"/>
    <w:rsid w:val="00DC22A1"/>
    <w:rsid w:val="00DC2D3C"/>
    <w:rsid w:val="00DC2D70"/>
    <w:rsid w:val="00DC474E"/>
    <w:rsid w:val="00DC6928"/>
    <w:rsid w:val="00DD0715"/>
    <w:rsid w:val="00DD3132"/>
    <w:rsid w:val="00DD3F2A"/>
    <w:rsid w:val="00DD422E"/>
    <w:rsid w:val="00DD4538"/>
    <w:rsid w:val="00DD46D3"/>
    <w:rsid w:val="00DD790E"/>
    <w:rsid w:val="00DD7E68"/>
    <w:rsid w:val="00DE1785"/>
    <w:rsid w:val="00DE22C9"/>
    <w:rsid w:val="00DE326B"/>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E9E"/>
    <w:rsid w:val="00E03BCF"/>
    <w:rsid w:val="00E0466B"/>
    <w:rsid w:val="00E0472D"/>
    <w:rsid w:val="00E050E3"/>
    <w:rsid w:val="00E07B2C"/>
    <w:rsid w:val="00E10277"/>
    <w:rsid w:val="00E11114"/>
    <w:rsid w:val="00E11AB4"/>
    <w:rsid w:val="00E12061"/>
    <w:rsid w:val="00E12982"/>
    <w:rsid w:val="00E14B89"/>
    <w:rsid w:val="00E159B4"/>
    <w:rsid w:val="00E16A8B"/>
    <w:rsid w:val="00E22CE4"/>
    <w:rsid w:val="00E251FB"/>
    <w:rsid w:val="00E26167"/>
    <w:rsid w:val="00E30B8C"/>
    <w:rsid w:val="00E30F40"/>
    <w:rsid w:val="00E32E35"/>
    <w:rsid w:val="00E332BF"/>
    <w:rsid w:val="00E3380E"/>
    <w:rsid w:val="00E3459D"/>
    <w:rsid w:val="00E35677"/>
    <w:rsid w:val="00E36245"/>
    <w:rsid w:val="00E362DB"/>
    <w:rsid w:val="00E43C11"/>
    <w:rsid w:val="00E440AC"/>
    <w:rsid w:val="00E44355"/>
    <w:rsid w:val="00E47145"/>
    <w:rsid w:val="00E4766B"/>
    <w:rsid w:val="00E47BF6"/>
    <w:rsid w:val="00E50BFA"/>
    <w:rsid w:val="00E519AB"/>
    <w:rsid w:val="00E5216D"/>
    <w:rsid w:val="00E537C5"/>
    <w:rsid w:val="00E54549"/>
    <w:rsid w:val="00E54746"/>
    <w:rsid w:val="00E55EC0"/>
    <w:rsid w:val="00E56115"/>
    <w:rsid w:val="00E566C6"/>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2345"/>
    <w:rsid w:val="00E82D98"/>
    <w:rsid w:val="00E83039"/>
    <w:rsid w:val="00E86AD8"/>
    <w:rsid w:val="00E86C2A"/>
    <w:rsid w:val="00E879DE"/>
    <w:rsid w:val="00E87A12"/>
    <w:rsid w:val="00E900D7"/>
    <w:rsid w:val="00E9160D"/>
    <w:rsid w:val="00E9175E"/>
    <w:rsid w:val="00E94C62"/>
    <w:rsid w:val="00E9562A"/>
    <w:rsid w:val="00E95A55"/>
    <w:rsid w:val="00E977C2"/>
    <w:rsid w:val="00EA03BA"/>
    <w:rsid w:val="00EA04ED"/>
    <w:rsid w:val="00EA09DB"/>
    <w:rsid w:val="00EA1261"/>
    <w:rsid w:val="00EA2CD4"/>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1091"/>
    <w:rsid w:val="00ED1112"/>
    <w:rsid w:val="00ED141A"/>
    <w:rsid w:val="00ED277A"/>
    <w:rsid w:val="00ED2D46"/>
    <w:rsid w:val="00ED5A45"/>
    <w:rsid w:val="00ED6E24"/>
    <w:rsid w:val="00EE2AF0"/>
    <w:rsid w:val="00EE3FAD"/>
    <w:rsid w:val="00EE41D0"/>
    <w:rsid w:val="00EE4660"/>
    <w:rsid w:val="00EE518D"/>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987"/>
    <w:rsid w:val="00F723A4"/>
    <w:rsid w:val="00F72C41"/>
    <w:rsid w:val="00F73479"/>
    <w:rsid w:val="00F762B7"/>
    <w:rsid w:val="00F77F0B"/>
    <w:rsid w:val="00F805CC"/>
    <w:rsid w:val="00F80FD6"/>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uiPriority w:val="99"/>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1"/>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styleId="UnresolvedMention">
    <w:name w:val="Unresolved Mention"/>
    <w:basedOn w:val="DefaultParagraphFont"/>
    <w:uiPriority w:val="99"/>
    <w:semiHidden/>
    <w:unhideWhenUsed/>
    <w:rsid w:val="00A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15D183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da.europa.eu/docs/default-source/procurement/privacy-statemen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F18AFA8ADA0419EB2DB569DE35356" ma:contentTypeVersion="10" ma:contentTypeDescription="Create a new document." ma:contentTypeScope="" ma:versionID="d68fb1fff8d396280a7e889280e7ea37">
  <xsd:schema xmlns:xsd="http://www.w3.org/2001/XMLSchema" xmlns:xs="http://www.w3.org/2001/XMLSchema" xmlns:p="http://schemas.microsoft.com/office/2006/metadata/properties" xmlns:ns3="56d9eb6a-b63c-4ca3-a7ca-e0518ba591ea" xmlns:ns4="45106b7f-3510-4835-9d5c-72045e06f8a2" targetNamespace="http://schemas.microsoft.com/office/2006/metadata/properties" ma:root="true" ma:fieldsID="309693d9bb148552a17706ab8be2c0fb" ns3:_="" ns4:_="">
    <xsd:import namespace="56d9eb6a-b63c-4ca3-a7ca-e0518ba591ea"/>
    <xsd:import namespace="45106b7f-3510-4835-9d5c-72045e06f8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9eb6a-b63c-4ca3-a7ca-e0518ba59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06b7f-3510-4835-9d5c-72045e06f8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FA05-9334-46C8-ADA1-AB9C9DD0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9eb6a-b63c-4ca3-a7ca-e0518ba591ea"/>
    <ds:schemaRef ds:uri="45106b7f-3510-4835-9d5c-72045e06f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75F49C8E-4768-49A2-AABF-3C631352CE3E}">
  <ds:schemaRefs>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45106b7f-3510-4835-9d5c-72045e06f8a2"/>
    <ds:schemaRef ds:uri="http://schemas.microsoft.com/office/2006/metadata/properties"/>
    <ds:schemaRef ds:uri="http://schemas.openxmlformats.org/package/2006/metadata/core-properties"/>
    <ds:schemaRef ds:uri="56d9eb6a-b63c-4ca3-a7ca-e0518ba591ea"/>
  </ds:schemaRefs>
</ds:datastoreItem>
</file>

<file path=customXml/itemProps4.xml><?xml version="1.0" encoding="utf-8"?>
<ds:datastoreItem xmlns:ds="http://schemas.openxmlformats.org/officeDocument/2006/customXml" ds:itemID="{5499E39E-847F-42F1-BD76-F2D4B0E6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1689</Words>
  <Characters>9864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11530</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Clelia CASALINO</cp:lastModifiedBy>
  <cp:revision>2</cp:revision>
  <cp:lastPrinted>2016-09-27T09:13:00Z</cp:lastPrinted>
  <dcterms:created xsi:type="dcterms:W3CDTF">2019-12-09T15:48:00Z</dcterms:created>
  <dcterms:modified xsi:type="dcterms:W3CDTF">2019-12-09T15:48:00Z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0x0101040024B534889B9E7945989D4006A21F102F</vt:lpwstr>
  </property>
  <property fmtid="{D5CDD505-2E9C-101B-9397-08002B2CF9AE}" pid="13" name="AuthorIds_UIVersion_1537">
    <vt:lpwstr>38</vt:lpwstr>
  </property>
</Properties>
</file>